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432653">
      <w:pPr>
        <w:rPr>
          <w:sz w:val="72"/>
          <w:szCs w:val="72"/>
        </w:rPr>
      </w:pPr>
    </w:p>
    <w:p w14:paraId="00221B38">
      <w:pPr>
        <w:jc w:val="center"/>
        <w:rPr>
          <w:sz w:val="72"/>
          <w:szCs w:val="72"/>
        </w:rPr>
      </w:pPr>
    </w:p>
    <w:p w14:paraId="377AD763">
      <w:pPr>
        <w:jc w:val="center"/>
        <w:rPr>
          <w:sz w:val="72"/>
          <w:szCs w:val="72"/>
        </w:rPr>
      </w:pPr>
      <w:r>
        <w:rPr>
          <w:rFonts w:hint="eastAsia"/>
          <w:sz w:val="72"/>
          <w:szCs w:val="72"/>
        </w:rPr>
        <w:t>磋商文件</w:t>
      </w:r>
    </w:p>
    <w:p w14:paraId="7EA5B29A">
      <w:pPr>
        <w:spacing w:before="114" w:line="212" w:lineRule="auto"/>
        <w:rPr>
          <w:rFonts w:ascii="宋体" w:hAnsi="宋体" w:eastAsia="宋体" w:cs="宋体"/>
          <w:b/>
          <w:bCs/>
          <w:spacing w:val="-6"/>
          <w:sz w:val="35"/>
          <w:szCs w:val="35"/>
        </w:rPr>
      </w:pPr>
    </w:p>
    <w:p w14:paraId="197292EC">
      <w:pPr>
        <w:pStyle w:val="10"/>
      </w:pPr>
    </w:p>
    <w:p w14:paraId="1D42B31E">
      <w:pPr>
        <w:pStyle w:val="10"/>
      </w:pPr>
    </w:p>
    <w:p w14:paraId="35C1AAAB">
      <w:pPr>
        <w:pStyle w:val="4"/>
      </w:pPr>
    </w:p>
    <w:p w14:paraId="61BD2B2D">
      <w:pPr>
        <w:spacing w:before="114" w:line="212" w:lineRule="auto"/>
        <w:rPr>
          <w:rFonts w:hint="eastAsia" w:ascii="宋体" w:hAnsi="宋体" w:eastAsia="宋体" w:cs="宋体"/>
          <w:sz w:val="35"/>
          <w:szCs w:val="35"/>
          <w:highlight w:val="none"/>
          <w:lang w:eastAsia="zh-CN"/>
        </w:rPr>
      </w:pPr>
      <w:r>
        <w:rPr>
          <w:rFonts w:ascii="宋体" w:hAnsi="宋体" w:eastAsia="宋体" w:cs="宋体"/>
          <w:b/>
          <w:bCs/>
          <w:spacing w:val="-6"/>
          <w:sz w:val="35"/>
          <w:szCs w:val="35"/>
        </w:rPr>
        <w:t>项目编号：</w:t>
      </w:r>
      <w:r>
        <w:rPr>
          <w:rFonts w:hint="eastAsia" w:ascii="宋体" w:hAnsi="宋体" w:eastAsia="宋体" w:cs="宋体"/>
          <w:b/>
          <w:bCs/>
          <w:spacing w:val="-6"/>
          <w:sz w:val="35"/>
          <w:szCs w:val="35"/>
          <w:highlight w:val="none"/>
          <w:lang w:eastAsia="zh-CN"/>
        </w:rPr>
        <w:t>JSZC-320113-STGC-C2026-0006</w:t>
      </w:r>
    </w:p>
    <w:p w14:paraId="312E3B02">
      <w:pPr>
        <w:spacing w:line="249" w:lineRule="auto"/>
        <w:rPr>
          <w:rFonts w:ascii="Arial"/>
        </w:rPr>
      </w:pPr>
    </w:p>
    <w:p w14:paraId="559A9783">
      <w:pPr>
        <w:spacing w:line="250" w:lineRule="auto"/>
        <w:rPr>
          <w:rFonts w:ascii="Arial"/>
        </w:rPr>
      </w:pPr>
    </w:p>
    <w:p w14:paraId="26B369FD">
      <w:pPr>
        <w:spacing w:line="250" w:lineRule="auto"/>
        <w:rPr>
          <w:rFonts w:ascii="Arial"/>
        </w:rPr>
      </w:pPr>
    </w:p>
    <w:p w14:paraId="4BF5C9E1">
      <w:pPr>
        <w:rPr>
          <w:rFonts w:hint="eastAsia" w:ascii="宋体" w:hAnsi="宋体" w:eastAsia="宋体" w:cs="宋体"/>
          <w:b/>
          <w:bCs/>
          <w:spacing w:val="-7"/>
          <w:sz w:val="35"/>
          <w:szCs w:val="35"/>
          <w:lang w:eastAsia="zh-CN"/>
        </w:rPr>
      </w:pPr>
      <w:r>
        <w:rPr>
          <w:rFonts w:ascii="宋体" w:hAnsi="宋体" w:eastAsia="宋体" w:cs="宋体"/>
          <w:b/>
          <w:bCs/>
          <w:spacing w:val="-7"/>
          <w:sz w:val="35"/>
          <w:szCs w:val="35"/>
        </w:rPr>
        <w:t>项目名称：</w:t>
      </w:r>
      <w:bookmarkStart w:id="0" w:name="OLE_LINK4"/>
      <w:bookmarkStart w:id="1" w:name="OLE_LINK5"/>
      <w:r>
        <w:rPr>
          <w:rFonts w:hint="eastAsia" w:ascii="宋体" w:hAnsi="宋体" w:eastAsia="宋体" w:cs="宋体"/>
          <w:b/>
          <w:bCs/>
          <w:spacing w:val="-7"/>
          <w:sz w:val="35"/>
          <w:szCs w:val="35"/>
          <w:lang w:eastAsia="zh-CN"/>
        </w:rPr>
        <w:t>栖霞区北十里长沟东支及百水河流域排水防涝综合整治工程代建管理服务</w:t>
      </w:r>
    </w:p>
    <w:bookmarkEnd w:id="0"/>
    <w:bookmarkEnd w:id="1"/>
    <w:p w14:paraId="2F4E94B5">
      <w:pPr>
        <w:rPr>
          <w:rFonts w:ascii="宋体" w:hAnsi="宋体" w:eastAsia="宋体" w:cs="宋体"/>
          <w:spacing w:val="7"/>
          <w:sz w:val="35"/>
          <w:szCs w:val="35"/>
        </w:rPr>
      </w:pPr>
    </w:p>
    <w:p w14:paraId="74ABA0AB">
      <w:pPr>
        <w:pStyle w:val="4"/>
        <w:rPr>
          <w:rFonts w:ascii="宋体" w:hAnsi="宋体" w:eastAsia="宋体" w:cs="宋体"/>
          <w:spacing w:val="7"/>
          <w:sz w:val="35"/>
          <w:szCs w:val="35"/>
        </w:rPr>
      </w:pPr>
    </w:p>
    <w:p w14:paraId="773FB3CF">
      <w:pPr>
        <w:pStyle w:val="6"/>
        <w:rPr>
          <w:rFonts w:ascii="宋体" w:hAnsi="宋体" w:eastAsia="宋体" w:cs="宋体"/>
          <w:spacing w:val="7"/>
          <w:sz w:val="35"/>
          <w:szCs w:val="35"/>
        </w:rPr>
      </w:pPr>
    </w:p>
    <w:p w14:paraId="61E1F76B">
      <w:pPr>
        <w:pStyle w:val="6"/>
        <w:rPr>
          <w:rFonts w:ascii="宋体" w:hAnsi="宋体" w:eastAsia="宋体" w:cs="宋体"/>
          <w:spacing w:val="7"/>
          <w:sz w:val="35"/>
          <w:szCs w:val="35"/>
        </w:rPr>
      </w:pPr>
    </w:p>
    <w:p w14:paraId="34DDC161">
      <w:pPr>
        <w:pStyle w:val="6"/>
        <w:rPr>
          <w:rFonts w:ascii="宋体" w:hAnsi="宋体" w:eastAsia="宋体" w:cs="宋体"/>
          <w:spacing w:val="7"/>
          <w:sz w:val="35"/>
          <w:szCs w:val="35"/>
        </w:rPr>
      </w:pPr>
    </w:p>
    <w:p w14:paraId="3A50633B">
      <w:pPr>
        <w:pStyle w:val="6"/>
        <w:rPr>
          <w:rFonts w:ascii="宋体" w:hAnsi="宋体" w:eastAsia="宋体" w:cs="宋体"/>
          <w:spacing w:val="7"/>
          <w:sz w:val="35"/>
          <w:szCs w:val="35"/>
        </w:rPr>
      </w:pPr>
    </w:p>
    <w:p w14:paraId="23FABBE6">
      <w:pPr>
        <w:pStyle w:val="6"/>
        <w:rPr>
          <w:rFonts w:ascii="宋体" w:hAnsi="宋体" w:eastAsia="宋体" w:cs="宋体"/>
          <w:spacing w:val="7"/>
          <w:sz w:val="35"/>
          <w:szCs w:val="35"/>
        </w:rPr>
      </w:pPr>
    </w:p>
    <w:p w14:paraId="6135C042">
      <w:pPr>
        <w:pStyle w:val="6"/>
        <w:rPr>
          <w:rFonts w:ascii="宋体" w:hAnsi="宋体" w:eastAsia="宋体" w:cs="宋体"/>
          <w:spacing w:val="7"/>
          <w:sz w:val="35"/>
          <w:szCs w:val="35"/>
        </w:rPr>
      </w:pPr>
    </w:p>
    <w:p w14:paraId="43434827">
      <w:pPr>
        <w:pStyle w:val="6"/>
        <w:jc w:val="center"/>
        <w:rPr>
          <w:rFonts w:hint="eastAsia" w:ascii="宋体" w:hAnsi="宋体" w:eastAsia="宋体" w:cs="宋体"/>
          <w:spacing w:val="7"/>
          <w:sz w:val="35"/>
          <w:szCs w:val="35"/>
          <w:lang w:eastAsia="zh-CN"/>
        </w:rPr>
      </w:pPr>
      <w:r>
        <w:rPr>
          <w:rFonts w:hint="eastAsia" w:ascii="宋体" w:hAnsi="宋体" w:eastAsia="宋体" w:cs="宋体"/>
          <w:spacing w:val="7"/>
          <w:sz w:val="35"/>
          <w:szCs w:val="35"/>
          <w:lang w:eastAsia="zh-CN"/>
        </w:rPr>
        <w:t>江苏顺天工程项目管理咨询有限公司</w:t>
      </w:r>
    </w:p>
    <w:p w14:paraId="289EA0AC">
      <w:pPr>
        <w:pStyle w:val="6"/>
        <w:jc w:val="center"/>
        <w:rPr>
          <w:rFonts w:hint="default" w:ascii="宋体" w:hAnsi="宋体" w:eastAsia="宋体" w:cs="宋体"/>
          <w:spacing w:val="7"/>
          <w:sz w:val="35"/>
          <w:szCs w:val="35"/>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spacing w:val="7"/>
          <w:sz w:val="35"/>
          <w:szCs w:val="35"/>
        </w:rPr>
        <w:t>202</w:t>
      </w:r>
      <w:r>
        <w:rPr>
          <w:rFonts w:hint="eastAsia" w:ascii="宋体" w:hAnsi="宋体" w:eastAsia="宋体" w:cs="宋体"/>
          <w:spacing w:val="7"/>
          <w:sz w:val="35"/>
          <w:szCs w:val="35"/>
          <w:lang w:val="en-US" w:eastAsia="zh-CN"/>
        </w:rPr>
        <w:t>6</w:t>
      </w:r>
      <w:r>
        <w:rPr>
          <w:rFonts w:hint="eastAsia" w:ascii="宋体" w:hAnsi="宋体" w:eastAsia="宋体" w:cs="宋体"/>
          <w:spacing w:val="7"/>
          <w:sz w:val="35"/>
          <w:szCs w:val="35"/>
        </w:rPr>
        <w:t>-</w:t>
      </w:r>
      <w:r>
        <w:rPr>
          <w:rFonts w:hint="eastAsia" w:ascii="宋体" w:hAnsi="宋体" w:eastAsia="宋体" w:cs="宋体"/>
          <w:spacing w:val="7"/>
          <w:sz w:val="35"/>
          <w:szCs w:val="35"/>
          <w:lang w:val="en-US" w:eastAsia="zh-CN"/>
        </w:rPr>
        <w:t>5-15</w:t>
      </w:r>
    </w:p>
    <w:p w14:paraId="6886BDEC">
      <w:pPr>
        <w:jc w:val="center"/>
        <w:rPr>
          <w:b/>
          <w:bCs/>
          <w:sz w:val="32"/>
          <w:szCs w:val="32"/>
        </w:rPr>
      </w:pPr>
      <w:r>
        <w:rPr>
          <w:rFonts w:hint="eastAsia" w:ascii="宋体" w:hAnsi="宋体" w:eastAsia="宋体"/>
          <w:b/>
          <w:bCs/>
          <w:sz w:val="32"/>
          <w:szCs w:val="32"/>
        </w:rPr>
        <w:t xml:space="preserve">磋 商 </w:t>
      </w:r>
      <w:r>
        <w:rPr>
          <w:rFonts w:ascii="宋体" w:hAnsi="宋体" w:eastAsia="宋体"/>
          <w:b/>
          <w:bCs/>
          <w:sz w:val="32"/>
          <w:szCs w:val="32"/>
        </w:rPr>
        <w:t>目录</w:t>
      </w:r>
    </w:p>
    <w:sdt>
      <w:sdtPr>
        <w:rPr>
          <w:rFonts w:ascii="宋体" w:hAnsi="宋体" w:eastAsia="宋体"/>
          <w:szCs w:val="20"/>
        </w:rPr>
        <w:id w:val="147476342"/>
        <w:docPartObj>
          <w:docPartGallery w:val="Table of Contents"/>
          <w:docPartUnique/>
        </w:docPartObj>
      </w:sdtPr>
      <w:sdtEndPr>
        <w:rPr>
          <w:rFonts w:ascii="宋体" w:hAnsi="宋体" w:eastAsia="宋体" w:cs="宋体"/>
          <w:spacing w:val="7"/>
          <w:szCs w:val="35"/>
        </w:rPr>
      </w:sdtEndPr>
      <w:sdtContent>
        <w:p w14:paraId="143105F7">
          <w:pPr>
            <w:jc w:val="center"/>
          </w:pPr>
        </w:p>
        <w:p w14:paraId="5E0E302F">
          <w:pPr>
            <w:pStyle w:val="12"/>
            <w:tabs>
              <w:tab w:val="right" w:leader="dot" w:pos="8306"/>
            </w:tabs>
          </w:pPr>
          <w:r>
            <w:rPr>
              <w:rFonts w:ascii="宋体" w:hAnsi="宋体" w:eastAsia="宋体" w:cs="宋体"/>
              <w:spacing w:val="7"/>
              <w:sz w:val="35"/>
              <w:szCs w:val="35"/>
            </w:rPr>
            <w:fldChar w:fldCharType="begin"/>
          </w:r>
          <w:r>
            <w:rPr>
              <w:rFonts w:ascii="宋体" w:hAnsi="宋体" w:eastAsia="宋体" w:cs="宋体"/>
              <w:spacing w:val="7"/>
              <w:sz w:val="35"/>
              <w:szCs w:val="35"/>
            </w:rPr>
            <w:instrText xml:space="preserve">TOC \o "1-3" \h \u </w:instrText>
          </w:r>
          <w:r>
            <w:rPr>
              <w:rFonts w:ascii="宋体" w:hAnsi="宋体" w:eastAsia="宋体" w:cs="宋体"/>
              <w:spacing w:val="7"/>
              <w:sz w:val="35"/>
              <w:szCs w:val="35"/>
            </w:rPr>
            <w:fldChar w:fldCharType="separate"/>
          </w:r>
          <w:r>
            <w:rPr>
              <w:rFonts w:ascii="宋体" w:hAnsi="宋体" w:eastAsia="宋体" w:cs="宋体"/>
              <w:spacing w:val="7"/>
              <w:szCs w:val="35"/>
            </w:rPr>
            <w:fldChar w:fldCharType="begin"/>
          </w:r>
          <w:r>
            <w:rPr>
              <w:rFonts w:ascii="宋体" w:hAnsi="宋体" w:eastAsia="宋体" w:cs="宋体"/>
              <w:spacing w:val="7"/>
              <w:szCs w:val="35"/>
            </w:rPr>
            <w:instrText xml:space="preserve"> HYPERLINK \l _Toc10007 </w:instrText>
          </w:r>
          <w:r>
            <w:rPr>
              <w:rFonts w:ascii="宋体" w:hAnsi="宋体" w:eastAsia="宋体" w:cs="宋体"/>
              <w:spacing w:val="7"/>
              <w:szCs w:val="35"/>
            </w:rPr>
            <w:fldChar w:fldCharType="separate"/>
          </w:r>
          <w:r>
            <w:rPr>
              <w:rFonts w:hint="eastAsia"/>
            </w:rPr>
            <w:t>第一部分磋商邀请</w:t>
          </w:r>
          <w:r>
            <w:tab/>
          </w:r>
          <w:r>
            <w:fldChar w:fldCharType="begin"/>
          </w:r>
          <w:r>
            <w:instrText xml:space="preserve"> PAGEREF _Toc10007 \h </w:instrText>
          </w:r>
          <w:r>
            <w:fldChar w:fldCharType="separate"/>
          </w:r>
          <w:r>
            <w:t>5</w:t>
          </w:r>
          <w:r>
            <w:fldChar w:fldCharType="end"/>
          </w:r>
          <w:r>
            <w:rPr>
              <w:rFonts w:ascii="宋体" w:hAnsi="宋体" w:eastAsia="宋体" w:cs="宋体"/>
              <w:spacing w:val="7"/>
              <w:szCs w:val="35"/>
            </w:rPr>
            <w:fldChar w:fldCharType="end"/>
          </w:r>
        </w:p>
        <w:p w14:paraId="3CF2C3F2">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_Toc31731 </w:instrText>
          </w:r>
          <w:r>
            <w:rPr>
              <w:rFonts w:ascii="宋体" w:hAnsi="宋体" w:eastAsia="宋体" w:cs="宋体"/>
              <w:spacing w:val="7"/>
              <w:szCs w:val="35"/>
            </w:rPr>
            <w:fldChar w:fldCharType="separate"/>
          </w:r>
          <w:r>
            <w:t>一、项目基本情况</w:t>
          </w:r>
          <w:r>
            <w:tab/>
          </w:r>
          <w:r>
            <w:fldChar w:fldCharType="begin"/>
          </w:r>
          <w:r>
            <w:instrText xml:space="preserve"> PAGEREF _Toc31731 \h </w:instrText>
          </w:r>
          <w:r>
            <w:fldChar w:fldCharType="separate"/>
          </w:r>
          <w:r>
            <w:t>5</w:t>
          </w:r>
          <w:r>
            <w:fldChar w:fldCharType="end"/>
          </w:r>
          <w:r>
            <w:rPr>
              <w:rFonts w:ascii="宋体" w:hAnsi="宋体" w:eastAsia="宋体" w:cs="宋体"/>
              <w:spacing w:val="7"/>
              <w:szCs w:val="35"/>
            </w:rPr>
            <w:fldChar w:fldCharType="end"/>
          </w:r>
        </w:p>
        <w:p w14:paraId="190087AF">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_Toc6744 </w:instrText>
          </w:r>
          <w:r>
            <w:rPr>
              <w:rFonts w:ascii="宋体" w:hAnsi="宋体" w:eastAsia="宋体" w:cs="宋体"/>
              <w:spacing w:val="7"/>
              <w:szCs w:val="35"/>
            </w:rPr>
            <w:fldChar w:fldCharType="separate"/>
          </w:r>
          <w:r>
            <w:rPr>
              <w:rFonts w:hint="eastAsia"/>
            </w:rPr>
            <w:t>二</w:t>
          </w:r>
          <w:r>
            <w:t>、申请人的资格要求：</w:t>
          </w:r>
          <w:r>
            <w:tab/>
          </w:r>
          <w:r>
            <w:fldChar w:fldCharType="begin"/>
          </w:r>
          <w:r>
            <w:instrText xml:space="preserve"> PAGEREF _Toc6744 \h </w:instrText>
          </w:r>
          <w:r>
            <w:fldChar w:fldCharType="separate"/>
          </w:r>
          <w:r>
            <w:t>5</w:t>
          </w:r>
          <w:r>
            <w:fldChar w:fldCharType="end"/>
          </w:r>
          <w:r>
            <w:rPr>
              <w:rFonts w:ascii="宋体" w:hAnsi="宋体" w:eastAsia="宋体" w:cs="宋体"/>
              <w:spacing w:val="7"/>
              <w:szCs w:val="35"/>
            </w:rPr>
            <w:fldChar w:fldCharType="end"/>
          </w:r>
        </w:p>
        <w:p w14:paraId="1DC9B8C3">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_Toc1832 </w:instrText>
          </w:r>
          <w:r>
            <w:rPr>
              <w:rFonts w:ascii="宋体" w:hAnsi="宋体" w:eastAsia="宋体" w:cs="宋体"/>
              <w:spacing w:val="7"/>
              <w:szCs w:val="35"/>
            </w:rPr>
            <w:fldChar w:fldCharType="separate"/>
          </w:r>
          <w:r>
            <w:rPr>
              <w:rFonts w:ascii="宋体" w:hAnsi="宋体" w:eastAsia="宋体" w:cs="宋体"/>
              <w:spacing w:val="-14"/>
            </w:rPr>
            <w:t>1.满足《中华人民共和国政府采购法》第二十二条规定；</w:t>
          </w:r>
          <w:r>
            <w:tab/>
          </w:r>
          <w:r>
            <w:fldChar w:fldCharType="begin"/>
          </w:r>
          <w:r>
            <w:instrText xml:space="preserve"> PAGEREF _Toc1832 \h </w:instrText>
          </w:r>
          <w:r>
            <w:fldChar w:fldCharType="separate"/>
          </w:r>
          <w:r>
            <w:t>5</w:t>
          </w:r>
          <w:r>
            <w:fldChar w:fldCharType="end"/>
          </w:r>
          <w:r>
            <w:rPr>
              <w:rFonts w:ascii="宋体" w:hAnsi="宋体" w:eastAsia="宋体" w:cs="宋体"/>
              <w:spacing w:val="7"/>
              <w:szCs w:val="35"/>
            </w:rPr>
            <w:fldChar w:fldCharType="end"/>
          </w:r>
        </w:p>
        <w:p w14:paraId="0E423B00">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_Toc19435 </w:instrText>
          </w:r>
          <w:r>
            <w:rPr>
              <w:rFonts w:ascii="宋体" w:hAnsi="宋体" w:eastAsia="宋体" w:cs="宋体"/>
              <w:spacing w:val="7"/>
              <w:szCs w:val="35"/>
            </w:rPr>
            <w:fldChar w:fldCharType="separate"/>
          </w:r>
          <w:r>
            <w:rPr>
              <w:rFonts w:hint="eastAsia" w:ascii="宋体" w:hAnsi="宋体" w:eastAsia="宋体" w:cs="宋体"/>
            </w:rPr>
            <w:t>2.落实政府采购政策需满足的资格要求：</w:t>
          </w:r>
          <w:r>
            <w:tab/>
          </w:r>
          <w:r>
            <w:fldChar w:fldCharType="begin"/>
          </w:r>
          <w:r>
            <w:instrText xml:space="preserve"> PAGEREF _Toc19435 \h </w:instrText>
          </w:r>
          <w:r>
            <w:fldChar w:fldCharType="separate"/>
          </w:r>
          <w:r>
            <w:t>6</w:t>
          </w:r>
          <w:r>
            <w:fldChar w:fldCharType="end"/>
          </w:r>
          <w:r>
            <w:rPr>
              <w:rFonts w:ascii="宋体" w:hAnsi="宋体" w:eastAsia="宋体" w:cs="宋体"/>
              <w:spacing w:val="7"/>
              <w:szCs w:val="35"/>
            </w:rPr>
            <w:fldChar w:fldCharType="end"/>
          </w:r>
        </w:p>
        <w:p w14:paraId="2FBB7956">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_Toc29307 </w:instrText>
          </w:r>
          <w:r>
            <w:rPr>
              <w:rFonts w:ascii="宋体" w:hAnsi="宋体" w:eastAsia="宋体" w:cs="宋体"/>
              <w:spacing w:val="7"/>
              <w:szCs w:val="35"/>
            </w:rPr>
            <w:fldChar w:fldCharType="separate"/>
          </w:r>
          <w:r>
            <w:rPr>
              <w:rFonts w:hint="eastAsia" w:ascii="宋体" w:hAnsi="宋体" w:eastAsia="宋体" w:cs="宋体"/>
              <w:highlight w:val="none"/>
            </w:rPr>
            <w:t>3.本项目的特定资格要求：</w:t>
          </w:r>
          <w:r>
            <w:tab/>
          </w:r>
          <w:r>
            <w:fldChar w:fldCharType="begin"/>
          </w:r>
          <w:r>
            <w:instrText xml:space="preserve"> PAGEREF _Toc29307 \h </w:instrText>
          </w:r>
          <w:r>
            <w:fldChar w:fldCharType="separate"/>
          </w:r>
          <w:r>
            <w:t>6</w:t>
          </w:r>
          <w:r>
            <w:fldChar w:fldCharType="end"/>
          </w:r>
          <w:r>
            <w:rPr>
              <w:rFonts w:ascii="宋体" w:hAnsi="宋体" w:eastAsia="宋体" w:cs="宋体"/>
              <w:spacing w:val="7"/>
              <w:szCs w:val="35"/>
            </w:rPr>
            <w:fldChar w:fldCharType="end"/>
          </w:r>
        </w:p>
        <w:p w14:paraId="1D035586">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_Toc7413 </w:instrText>
          </w:r>
          <w:r>
            <w:rPr>
              <w:rFonts w:ascii="宋体" w:hAnsi="宋体" w:eastAsia="宋体" w:cs="宋体"/>
              <w:spacing w:val="7"/>
              <w:szCs w:val="35"/>
            </w:rPr>
            <w:fldChar w:fldCharType="separate"/>
          </w:r>
          <w:r>
            <w:t>三、获取磋商文件</w:t>
          </w:r>
          <w:r>
            <w:rPr>
              <w:rFonts w:hint="eastAsia"/>
            </w:rPr>
            <w:t>：本项目采用网上注册登记方式</w:t>
          </w:r>
          <w:r>
            <w:tab/>
          </w:r>
          <w:r>
            <w:fldChar w:fldCharType="begin"/>
          </w:r>
          <w:r>
            <w:instrText xml:space="preserve"> PAGEREF _Toc7413 \h </w:instrText>
          </w:r>
          <w:r>
            <w:fldChar w:fldCharType="separate"/>
          </w:r>
          <w:r>
            <w:t>6</w:t>
          </w:r>
          <w:r>
            <w:fldChar w:fldCharType="end"/>
          </w:r>
          <w:r>
            <w:rPr>
              <w:rFonts w:ascii="宋体" w:hAnsi="宋体" w:eastAsia="宋体" w:cs="宋体"/>
              <w:spacing w:val="7"/>
              <w:szCs w:val="35"/>
            </w:rPr>
            <w:fldChar w:fldCharType="end"/>
          </w:r>
        </w:p>
        <w:p w14:paraId="5213EFB9">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_Toc3320 </w:instrText>
          </w:r>
          <w:r>
            <w:rPr>
              <w:rFonts w:ascii="宋体" w:hAnsi="宋体" w:eastAsia="宋体" w:cs="宋体"/>
              <w:spacing w:val="7"/>
              <w:szCs w:val="35"/>
            </w:rPr>
            <w:fldChar w:fldCharType="separate"/>
          </w:r>
          <w:r>
            <w:t>四、</w:t>
          </w:r>
          <w:r>
            <w:rPr>
              <w:rFonts w:hint="eastAsia"/>
            </w:rPr>
            <w:t>提交磋商响应文件截止时间、开标时间和地点</w:t>
          </w:r>
          <w:r>
            <w:tab/>
          </w:r>
          <w:r>
            <w:fldChar w:fldCharType="begin"/>
          </w:r>
          <w:r>
            <w:instrText xml:space="preserve"> PAGEREF _Toc3320 \h </w:instrText>
          </w:r>
          <w:r>
            <w:fldChar w:fldCharType="separate"/>
          </w:r>
          <w:r>
            <w:t>6</w:t>
          </w:r>
          <w:r>
            <w:fldChar w:fldCharType="end"/>
          </w:r>
          <w:r>
            <w:rPr>
              <w:rFonts w:ascii="宋体" w:hAnsi="宋体" w:eastAsia="宋体" w:cs="宋体"/>
              <w:spacing w:val="7"/>
              <w:szCs w:val="35"/>
            </w:rPr>
            <w:fldChar w:fldCharType="end"/>
          </w:r>
        </w:p>
        <w:p w14:paraId="0E0AAEC7">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_Toc20680 </w:instrText>
          </w:r>
          <w:r>
            <w:rPr>
              <w:rFonts w:ascii="宋体" w:hAnsi="宋体" w:eastAsia="宋体" w:cs="宋体"/>
              <w:spacing w:val="7"/>
              <w:szCs w:val="35"/>
            </w:rPr>
            <w:fldChar w:fldCharType="separate"/>
          </w:r>
          <w:r>
            <w:rPr>
              <w:rFonts w:hint="eastAsia"/>
            </w:rPr>
            <w:t>五</w:t>
          </w:r>
          <w:r>
            <w:t>、公告期限</w:t>
          </w:r>
          <w:r>
            <w:tab/>
          </w:r>
          <w:r>
            <w:fldChar w:fldCharType="begin"/>
          </w:r>
          <w:r>
            <w:instrText xml:space="preserve"> PAGEREF _Toc20680 \h </w:instrText>
          </w:r>
          <w:r>
            <w:fldChar w:fldCharType="separate"/>
          </w:r>
          <w:r>
            <w:t>7</w:t>
          </w:r>
          <w:r>
            <w:fldChar w:fldCharType="end"/>
          </w:r>
          <w:r>
            <w:rPr>
              <w:rFonts w:ascii="宋体" w:hAnsi="宋体" w:eastAsia="宋体" w:cs="宋体"/>
              <w:spacing w:val="7"/>
              <w:szCs w:val="35"/>
            </w:rPr>
            <w:fldChar w:fldCharType="end"/>
          </w:r>
        </w:p>
        <w:p w14:paraId="59B396D7">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_Toc25409 </w:instrText>
          </w:r>
          <w:r>
            <w:rPr>
              <w:rFonts w:ascii="宋体" w:hAnsi="宋体" w:eastAsia="宋体" w:cs="宋体"/>
              <w:spacing w:val="7"/>
              <w:szCs w:val="35"/>
            </w:rPr>
            <w:fldChar w:fldCharType="separate"/>
          </w:r>
          <w:r>
            <w:rPr>
              <w:rFonts w:hint="eastAsia"/>
            </w:rPr>
            <w:t>六</w:t>
          </w:r>
          <w:r>
            <w:t>、其他补充事宜</w:t>
          </w:r>
          <w:r>
            <w:tab/>
          </w:r>
          <w:r>
            <w:fldChar w:fldCharType="begin"/>
          </w:r>
          <w:r>
            <w:instrText xml:space="preserve"> PAGEREF _Toc25409 \h </w:instrText>
          </w:r>
          <w:r>
            <w:fldChar w:fldCharType="separate"/>
          </w:r>
          <w:r>
            <w:t>7</w:t>
          </w:r>
          <w:r>
            <w:fldChar w:fldCharType="end"/>
          </w:r>
          <w:r>
            <w:rPr>
              <w:rFonts w:ascii="宋体" w:hAnsi="宋体" w:eastAsia="宋体" w:cs="宋体"/>
              <w:spacing w:val="7"/>
              <w:szCs w:val="35"/>
            </w:rPr>
            <w:fldChar w:fldCharType="end"/>
          </w:r>
        </w:p>
        <w:p w14:paraId="7FE95D70">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_Toc1483 </w:instrText>
          </w:r>
          <w:r>
            <w:rPr>
              <w:rFonts w:ascii="宋体" w:hAnsi="宋体" w:eastAsia="宋体" w:cs="宋体"/>
              <w:spacing w:val="7"/>
              <w:szCs w:val="35"/>
            </w:rPr>
            <w:fldChar w:fldCharType="separate"/>
          </w:r>
          <w:r>
            <w:rPr>
              <w:rFonts w:hint="eastAsia"/>
            </w:rPr>
            <w:t>七</w:t>
          </w:r>
          <w:r>
            <w:t>、对本次磋商提出询问，请按以下方式联系。</w:t>
          </w:r>
          <w:r>
            <w:tab/>
          </w:r>
          <w:r>
            <w:fldChar w:fldCharType="begin"/>
          </w:r>
          <w:r>
            <w:instrText xml:space="preserve"> PAGEREF _Toc1483 \h </w:instrText>
          </w:r>
          <w:r>
            <w:fldChar w:fldCharType="separate"/>
          </w:r>
          <w:r>
            <w:t>9</w:t>
          </w:r>
          <w:r>
            <w:fldChar w:fldCharType="end"/>
          </w:r>
          <w:r>
            <w:rPr>
              <w:rFonts w:ascii="宋体" w:hAnsi="宋体" w:eastAsia="宋体" w:cs="宋体"/>
              <w:spacing w:val="7"/>
              <w:szCs w:val="35"/>
            </w:rPr>
            <w:fldChar w:fldCharType="end"/>
          </w:r>
        </w:p>
        <w:p w14:paraId="5D14CC17">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_Toc30014 </w:instrText>
          </w:r>
          <w:r>
            <w:rPr>
              <w:rFonts w:ascii="宋体" w:hAnsi="宋体" w:eastAsia="宋体" w:cs="宋体"/>
              <w:spacing w:val="7"/>
              <w:szCs w:val="35"/>
            </w:rPr>
            <w:fldChar w:fldCharType="separate"/>
          </w:r>
          <w:r>
            <w:rPr>
              <w:rFonts w:ascii="宋体" w:hAnsi="宋体" w:eastAsia="宋体" w:cs="宋体"/>
            </w:rPr>
            <w:t>1.采购人信息</w:t>
          </w:r>
          <w:r>
            <w:tab/>
          </w:r>
          <w:r>
            <w:fldChar w:fldCharType="begin"/>
          </w:r>
          <w:r>
            <w:instrText xml:space="preserve"> PAGEREF _Toc30014 \h </w:instrText>
          </w:r>
          <w:r>
            <w:fldChar w:fldCharType="separate"/>
          </w:r>
          <w:r>
            <w:t>9</w:t>
          </w:r>
          <w:r>
            <w:fldChar w:fldCharType="end"/>
          </w:r>
          <w:r>
            <w:rPr>
              <w:rFonts w:ascii="宋体" w:hAnsi="宋体" w:eastAsia="宋体" w:cs="宋体"/>
              <w:spacing w:val="7"/>
              <w:szCs w:val="35"/>
            </w:rPr>
            <w:fldChar w:fldCharType="end"/>
          </w:r>
        </w:p>
        <w:p w14:paraId="6288CBB7">
          <w:pPr>
            <w:pStyle w:val="12"/>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_Toc13023 </w:instrText>
          </w:r>
          <w:r>
            <w:rPr>
              <w:rFonts w:ascii="宋体" w:hAnsi="宋体" w:eastAsia="宋体" w:cs="宋体"/>
              <w:spacing w:val="7"/>
              <w:szCs w:val="35"/>
            </w:rPr>
            <w:fldChar w:fldCharType="separate"/>
          </w:r>
          <w:r>
            <w:rPr>
              <w:rFonts w:hint="eastAsia"/>
            </w:rPr>
            <w:t>第二部分供应商须知</w:t>
          </w:r>
          <w:r>
            <w:tab/>
          </w:r>
          <w:r>
            <w:fldChar w:fldCharType="begin"/>
          </w:r>
          <w:r>
            <w:instrText xml:space="preserve"> PAGEREF _Toc13023 \h </w:instrText>
          </w:r>
          <w:r>
            <w:fldChar w:fldCharType="separate"/>
          </w:r>
          <w:r>
            <w:t>10</w:t>
          </w:r>
          <w:r>
            <w:fldChar w:fldCharType="end"/>
          </w:r>
          <w:r>
            <w:rPr>
              <w:rFonts w:ascii="宋体" w:hAnsi="宋体" w:eastAsia="宋体" w:cs="宋体"/>
              <w:spacing w:val="7"/>
              <w:szCs w:val="35"/>
            </w:rPr>
            <w:fldChar w:fldCharType="end"/>
          </w:r>
        </w:p>
        <w:p w14:paraId="2175A92B">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_Toc25219 </w:instrText>
          </w:r>
          <w:r>
            <w:rPr>
              <w:rFonts w:ascii="宋体" w:hAnsi="宋体" w:eastAsia="宋体" w:cs="宋体"/>
              <w:spacing w:val="7"/>
              <w:szCs w:val="35"/>
            </w:rPr>
            <w:fldChar w:fldCharType="separate"/>
          </w:r>
          <w:r>
            <w:t>一、总则</w:t>
          </w:r>
          <w:r>
            <w:tab/>
          </w:r>
          <w:r>
            <w:fldChar w:fldCharType="begin"/>
          </w:r>
          <w:r>
            <w:instrText xml:space="preserve"> PAGEREF _Toc25219 \h </w:instrText>
          </w:r>
          <w:r>
            <w:fldChar w:fldCharType="separate"/>
          </w:r>
          <w:r>
            <w:t>10</w:t>
          </w:r>
          <w:r>
            <w:fldChar w:fldCharType="end"/>
          </w:r>
          <w:r>
            <w:rPr>
              <w:rFonts w:ascii="宋体" w:hAnsi="宋体" w:eastAsia="宋体" w:cs="宋体"/>
              <w:spacing w:val="7"/>
              <w:szCs w:val="35"/>
            </w:rPr>
            <w:fldChar w:fldCharType="end"/>
          </w:r>
        </w:p>
        <w:p w14:paraId="0F2B50E6">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_Toc13488 </w:instrText>
          </w:r>
          <w:r>
            <w:rPr>
              <w:rFonts w:ascii="宋体" w:hAnsi="宋体" w:eastAsia="宋体" w:cs="宋体"/>
              <w:spacing w:val="7"/>
              <w:szCs w:val="35"/>
            </w:rPr>
            <w:fldChar w:fldCharType="separate"/>
          </w:r>
          <w:r>
            <w:t>1.适用范围</w:t>
          </w:r>
          <w:r>
            <w:tab/>
          </w:r>
          <w:r>
            <w:fldChar w:fldCharType="begin"/>
          </w:r>
          <w:r>
            <w:instrText xml:space="preserve"> PAGEREF _Toc13488 \h </w:instrText>
          </w:r>
          <w:r>
            <w:fldChar w:fldCharType="separate"/>
          </w:r>
          <w:r>
            <w:t>10</w:t>
          </w:r>
          <w:r>
            <w:fldChar w:fldCharType="end"/>
          </w:r>
          <w:r>
            <w:rPr>
              <w:rFonts w:ascii="宋体" w:hAnsi="宋体" w:eastAsia="宋体" w:cs="宋体"/>
              <w:spacing w:val="7"/>
              <w:szCs w:val="35"/>
            </w:rPr>
            <w:fldChar w:fldCharType="end"/>
          </w:r>
        </w:p>
        <w:p w14:paraId="70ACE050">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_Toc2759 </w:instrText>
          </w:r>
          <w:r>
            <w:rPr>
              <w:rFonts w:ascii="宋体" w:hAnsi="宋体" w:eastAsia="宋体" w:cs="宋体"/>
              <w:spacing w:val="7"/>
              <w:szCs w:val="35"/>
            </w:rPr>
            <w:fldChar w:fldCharType="separate"/>
          </w:r>
          <w:r>
            <w:t>2.定义</w:t>
          </w:r>
          <w:r>
            <w:tab/>
          </w:r>
          <w:r>
            <w:fldChar w:fldCharType="begin"/>
          </w:r>
          <w:r>
            <w:instrText xml:space="preserve"> PAGEREF _Toc2759 \h </w:instrText>
          </w:r>
          <w:r>
            <w:fldChar w:fldCharType="separate"/>
          </w:r>
          <w:r>
            <w:t>10</w:t>
          </w:r>
          <w:r>
            <w:fldChar w:fldCharType="end"/>
          </w:r>
          <w:r>
            <w:rPr>
              <w:rFonts w:ascii="宋体" w:hAnsi="宋体" w:eastAsia="宋体" w:cs="宋体"/>
              <w:spacing w:val="7"/>
              <w:szCs w:val="35"/>
            </w:rPr>
            <w:fldChar w:fldCharType="end"/>
          </w:r>
        </w:p>
        <w:p w14:paraId="52BA3ED2">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_Toc4824 </w:instrText>
          </w:r>
          <w:r>
            <w:rPr>
              <w:rFonts w:ascii="宋体" w:hAnsi="宋体" w:eastAsia="宋体" w:cs="宋体"/>
              <w:spacing w:val="7"/>
              <w:szCs w:val="35"/>
            </w:rPr>
            <w:fldChar w:fldCharType="separate"/>
          </w:r>
          <w:r>
            <w:rPr>
              <w:rFonts w:ascii="Times New Roman" w:hAnsi="Times New Roman" w:cs="Times New Roman"/>
            </w:rPr>
            <w:t>3.本次采购方式</w:t>
          </w:r>
          <w:r>
            <w:tab/>
          </w:r>
          <w:r>
            <w:fldChar w:fldCharType="begin"/>
          </w:r>
          <w:r>
            <w:instrText xml:space="preserve"> PAGEREF _Toc4824 \h </w:instrText>
          </w:r>
          <w:r>
            <w:fldChar w:fldCharType="separate"/>
          </w:r>
          <w:r>
            <w:t>10</w:t>
          </w:r>
          <w:r>
            <w:fldChar w:fldCharType="end"/>
          </w:r>
          <w:r>
            <w:rPr>
              <w:rFonts w:ascii="宋体" w:hAnsi="宋体" w:eastAsia="宋体" w:cs="宋体"/>
              <w:spacing w:val="7"/>
              <w:szCs w:val="35"/>
            </w:rPr>
            <w:fldChar w:fldCharType="end"/>
          </w:r>
        </w:p>
        <w:p w14:paraId="0FA3677B">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_Toc19224 </w:instrText>
          </w:r>
          <w:r>
            <w:rPr>
              <w:rFonts w:ascii="宋体" w:hAnsi="宋体" w:eastAsia="宋体" w:cs="宋体"/>
              <w:spacing w:val="7"/>
              <w:szCs w:val="35"/>
            </w:rPr>
            <w:fldChar w:fldCharType="separate"/>
          </w:r>
          <w:r>
            <w:rPr>
              <w:rFonts w:ascii="Times New Roman" w:hAnsi="Times New Roman" w:cs="Times New Roman"/>
            </w:rPr>
            <w:t>4.磋商费用</w:t>
          </w:r>
          <w:r>
            <w:tab/>
          </w:r>
          <w:r>
            <w:fldChar w:fldCharType="begin"/>
          </w:r>
          <w:r>
            <w:instrText xml:space="preserve"> PAGEREF _Toc19224 \h </w:instrText>
          </w:r>
          <w:r>
            <w:fldChar w:fldCharType="separate"/>
          </w:r>
          <w:r>
            <w:t>10</w:t>
          </w:r>
          <w:r>
            <w:fldChar w:fldCharType="end"/>
          </w:r>
          <w:r>
            <w:rPr>
              <w:rFonts w:ascii="宋体" w:hAnsi="宋体" w:eastAsia="宋体" w:cs="宋体"/>
              <w:spacing w:val="7"/>
              <w:szCs w:val="35"/>
            </w:rPr>
            <w:fldChar w:fldCharType="end"/>
          </w:r>
        </w:p>
        <w:p w14:paraId="405692EB">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_Toc8885 </w:instrText>
          </w:r>
          <w:r>
            <w:rPr>
              <w:rFonts w:ascii="宋体" w:hAnsi="宋体" w:eastAsia="宋体" w:cs="宋体"/>
              <w:spacing w:val="7"/>
              <w:szCs w:val="35"/>
            </w:rPr>
            <w:fldChar w:fldCharType="separate"/>
          </w:r>
          <w:r>
            <w:rPr>
              <w:rFonts w:ascii="Times New Roman" w:hAnsi="Times New Roman" w:cs="Times New Roman"/>
            </w:rPr>
            <w:t>5.政策功能</w:t>
          </w:r>
          <w:r>
            <w:tab/>
          </w:r>
          <w:r>
            <w:fldChar w:fldCharType="begin"/>
          </w:r>
          <w:r>
            <w:instrText xml:space="preserve"> PAGEREF _Toc8885 \h </w:instrText>
          </w:r>
          <w:r>
            <w:fldChar w:fldCharType="separate"/>
          </w:r>
          <w:r>
            <w:t>11</w:t>
          </w:r>
          <w:r>
            <w:fldChar w:fldCharType="end"/>
          </w:r>
          <w:r>
            <w:rPr>
              <w:rFonts w:ascii="宋体" w:hAnsi="宋体" w:eastAsia="宋体" w:cs="宋体"/>
              <w:spacing w:val="7"/>
              <w:szCs w:val="35"/>
            </w:rPr>
            <w:fldChar w:fldCharType="end"/>
          </w:r>
        </w:p>
        <w:p w14:paraId="3E3DB0FD">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_Toc1459 </w:instrText>
          </w:r>
          <w:r>
            <w:rPr>
              <w:rFonts w:ascii="宋体" w:hAnsi="宋体" w:eastAsia="宋体" w:cs="宋体"/>
              <w:spacing w:val="7"/>
              <w:szCs w:val="35"/>
            </w:rPr>
            <w:fldChar w:fldCharType="separate"/>
          </w:r>
          <w:r>
            <w:t>二、磋商文件</w:t>
          </w:r>
          <w:r>
            <w:tab/>
          </w:r>
          <w:r>
            <w:fldChar w:fldCharType="begin"/>
          </w:r>
          <w:r>
            <w:instrText xml:space="preserve"> PAGEREF _Toc1459 \h </w:instrText>
          </w:r>
          <w:r>
            <w:fldChar w:fldCharType="separate"/>
          </w:r>
          <w:r>
            <w:t>13</w:t>
          </w:r>
          <w:r>
            <w:fldChar w:fldCharType="end"/>
          </w:r>
          <w:r>
            <w:rPr>
              <w:rFonts w:ascii="宋体" w:hAnsi="宋体" w:eastAsia="宋体" w:cs="宋体"/>
              <w:spacing w:val="7"/>
              <w:szCs w:val="35"/>
            </w:rPr>
            <w:fldChar w:fldCharType="end"/>
          </w:r>
        </w:p>
        <w:p w14:paraId="455EC3F5">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_Toc7784 </w:instrText>
          </w:r>
          <w:r>
            <w:rPr>
              <w:rFonts w:ascii="宋体" w:hAnsi="宋体" w:eastAsia="宋体" w:cs="宋体"/>
              <w:spacing w:val="7"/>
              <w:szCs w:val="35"/>
            </w:rPr>
            <w:fldChar w:fldCharType="separate"/>
          </w:r>
          <w:r>
            <w:rPr>
              <w:rFonts w:ascii="宋体" w:hAnsi="宋体" w:eastAsia="宋体" w:cs="宋体"/>
            </w:rPr>
            <w:t>6.磋商文件组成</w:t>
          </w:r>
          <w:r>
            <w:tab/>
          </w:r>
          <w:r>
            <w:fldChar w:fldCharType="begin"/>
          </w:r>
          <w:r>
            <w:instrText xml:space="preserve"> PAGEREF _Toc7784 \h </w:instrText>
          </w:r>
          <w:r>
            <w:fldChar w:fldCharType="separate"/>
          </w:r>
          <w:r>
            <w:t>13</w:t>
          </w:r>
          <w:r>
            <w:fldChar w:fldCharType="end"/>
          </w:r>
          <w:r>
            <w:rPr>
              <w:rFonts w:ascii="宋体" w:hAnsi="宋体" w:eastAsia="宋体" w:cs="宋体"/>
              <w:spacing w:val="7"/>
              <w:szCs w:val="35"/>
            </w:rPr>
            <w:fldChar w:fldCharType="end"/>
          </w:r>
        </w:p>
        <w:p w14:paraId="212740C5">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_Toc20910 </w:instrText>
          </w:r>
          <w:r>
            <w:rPr>
              <w:rFonts w:ascii="宋体" w:hAnsi="宋体" w:eastAsia="宋体" w:cs="宋体"/>
              <w:spacing w:val="7"/>
              <w:szCs w:val="35"/>
            </w:rPr>
            <w:fldChar w:fldCharType="separate"/>
          </w:r>
          <w:r>
            <w:rPr>
              <w:rFonts w:ascii="宋体" w:hAnsi="宋体" w:eastAsia="宋体" w:cs="宋体"/>
            </w:rPr>
            <w:t>7.磋商文件的澄清和修改</w:t>
          </w:r>
          <w:r>
            <w:tab/>
          </w:r>
          <w:r>
            <w:fldChar w:fldCharType="begin"/>
          </w:r>
          <w:r>
            <w:instrText xml:space="preserve"> PAGEREF _Toc20910 \h </w:instrText>
          </w:r>
          <w:r>
            <w:fldChar w:fldCharType="separate"/>
          </w:r>
          <w:r>
            <w:t>14</w:t>
          </w:r>
          <w:r>
            <w:fldChar w:fldCharType="end"/>
          </w:r>
          <w:r>
            <w:rPr>
              <w:rFonts w:ascii="宋体" w:hAnsi="宋体" w:eastAsia="宋体" w:cs="宋体"/>
              <w:spacing w:val="7"/>
              <w:szCs w:val="35"/>
            </w:rPr>
            <w:fldChar w:fldCharType="end"/>
          </w:r>
        </w:p>
        <w:p w14:paraId="551F51E1">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_Toc14425 </w:instrText>
          </w:r>
          <w:r>
            <w:rPr>
              <w:rFonts w:ascii="宋体" w:hAnsi="宋体" w:eastAsia="宋体" w:cs="宋体"/>
              <w:spacing w:val="7"/>
              <w:szCs w:val="35"/>
            </w:rPr>
            <w:fldChar w:fldCharType="separate"/>
          </w:r>
          <w:r>
            <w:t>三、磋商响应文件</w:t>
          </w:r>
          <w:r>
            <w:tab/>
          </w:r>
          <w:r>
            <w:fldChar w:fldCharType="begin"/>
          </w:r>
          <w:r>
            <w:instrText xml:space="preserve"> PAGEREF _Toc14425 \h </w:instrText>
          </w:r>
          <w:r>
            <w:fldChar w:fldCharType="separate"/>
          </w:r>
          <w:r>
            <w:t>14</w:t>
          </w:r>
          <w:r>
            <w:fldChar w:fldCharType="end"/>
          </w:r>
          <w:r>
            <w:rPr>
              <w:rFonts w:ascii="宋体" w:hAnsi="宋体" w:eastAsia="宋体" w:cs="宋体"/>
              <w:spacing w:val="7"/>
              <w:szCs w:val="35"/>
            </w:rPr>
            <w:fldChar w:fldCharType="end"/>
          </w:r>
        </w:p>
        <w:p w14:paraId="7923C838">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_Toc22739 </w:instrText>
          </w:r>
          <w:r>
            <w:rPr>
              <w:rFonts w:ascii="宋体" w:hAnsi="宋体" w:eastAsia="宋体" w:cs="宋体"/>
              <w:spacing w:val="7"/>
              <w:szCs w:val="35"/>
            </w:rPr>
            <w:fldChar w:fldCharType="separate"/>
          </w:r>
          <w:r>
            <w:rPr>
              <w:rFonts w:ascii="宋体" w:hAnsi="宋体" w:eastAsia="宋体" w:cs="宋体"/>
            </w:rPr>
            <w:t>8.编制响应文件的工具</w:t>
          </w:r>
          <w:r>
            <w:tab/>
          </w:r>
          <w:r>
            <w:fldChar w:fldCharType="begin"/>
          </w:r>
          <w:r>
            <w:instrText xml:space="preserve"> PAGEREF _Toc22739 \h </w:instrText>
          </w:r>
          <w:r>
            <w:fldChar w:fldCharType="separate"/>
          </w:r>
          <w:r>
            <w:t>14</w:t>
          </w:r>
          <w:r>
            <w:fldChar w:fldCharType="end"/>
          </w:r>
          <w:r>
            <w:rPr>
              <w:rFonts w:ascii="宋体" w:hAnsi="宋体" w:eastAsia="宋体" w:cs="宋体"/>
              <w:spacing w:val="7"/>
              <w:szCs w:val="35"/>
            </w:rPr>
            <w:fldChar w:fldCharType="end"/>
          </w:r>
        </w:p>
        <w:p w14:paraId="50ED9F7E">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_Toc14374 </w:instrText>
          </w:r>
          <w:r>
            <w:rPr>
              <w:rFonts w:ascii="宋体" w:hAnsi="宋体" w:eastAsia="宋体" w:cs="宋体"/>
              <w:spacing w:val="7"/>
              <w:szCs w:val="35"/>
            </w:rPr>
            <w:fldChar w:fldCharType="separate"/>
          </w:r>
          <w:r>
            <w:rPr>
              <w:rFonts w:ascii="宋体" w:hAnsi="宋体" w:eastAsia="宋体" w:cs="宋体"/>
            </w:rPr>
            <w:t>9.响应文件语言及度量衡单位</w:t>
          </w:r>
          <w:r>
            <w:tab/>
          </w:r>
          <w:r>
            <w:fldChar w:fldCharType="begin"/>
          </w:r>
          <w:r>
            <w:instrText xml:space="preserve"> PAGEREF _Toc14374 \h </w:instrText>
          </w:r>
          <w:r>
            <w:fldChar w:fldCharType="separate"/>
          </w:r>
          <w:r>
            <w:t>14</w:t>
          </w:r>
          <w:r>
            <w:fldChar w:fldCharType="end"/>
          </w:r>
          <w:r>
            <w:rPr>
              <w:rFonts w:ascii="宋体" w:hAnsi="宋体" w:eastAsia="宋体" w:cs="宋体"/>
              <w:spacing w:val="7"/>
              <w:szCs w:val="35"/>
            </w:rPr>
            <w:fldChar w:fldCharType="end"/>
          </w:r>
        </w:p>
        <w:p w14:paraId="1C355544">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_Toc23895 </w:instrText>
          </w:r>
          <w:r>
            <w:rPr>
              <w:rFonts w:ascii="宋体" w:hAnsi="宋体" w:eastAsia="宋体" w:cs="宋体"/>
              <w:spacing w:val="7"/>
              <w:szCs w:val="35"/>
            </w:rPr>
            <w:fldChar w:fldCharType="separate"/>
          </w:r>
          <w:r>
            <w:rPr>
              <w:rFonts w:ascii="宋体" w:hAnsi="宋体" w:eastAsia="宋体" w:cs="宋体"/>
            </w:rPr>
            <w:t>10.响应文件的构成</w:t>
          </w:r>
          <w:r>
            <w:tab/>
          </w:r>
          <w:r>
            <w:fldChar w:fldCharType="begin"/>
          </w:r>
          <w:r>
            <w:instrText xml:space="preserve"> PAGEREF _Toc23895 \h </w:instrText>
          </w:r>
          <w:r>
            <w:fldChar w:fldCharType="separate"/>
          </w:r>
          <w:r>
            <w:t>15</w:t>
          </w:r>
          <w:r>
            <w:fldChar w:fldCharType="end"/>
          </w:r>
          <w:r>
            <w:rPr>
              <w:rFonts w:ascii="宋体" w:hAnsi="宋体" w:eastAsia="宋体" w:cs="宋体"/>
              <w:spacing w:val="7"/>
              <w:szCs w:val="35"/>
            </w:rPr>
            <w:fldChar w:fldCharType="end"/>
          </w:r>
        </w:p>
        <w:p w14:paraId="7D8B73F1">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_Toc21500 </w:instrText>
          </w:r>
          <w:r>
            <w:rPr>
              <w:rFonts w:ascii="宋体" w:hAnsi="宋体" w:eastAsia="宋体" w:cs="宋体"/>
              <w:spacing w:val="7"/>
              <w:szCs w:val="35"/>
            </w:rPr>
            <w:fldChar w:fldCharType="separate"/>
          </w:r>
          <w:r>
            <w:rPr>
              <w:rFonts w:ascii="宋体" w:hAnsi="宋体" w:eastAsia="宋体" w:cs="宋体"/>
            </w:rPr>
            <w:t>11.响应文件的编写</w:t>
          </w:r>
          <w:r>
            <w:tab/>
          </w:r>
          <w:r>
            <w:fldChar w:fldCharType="begin"/>
          </w:r>
          <w:r>
            <w:instrText xml:space="preserve"> PAGEREF _Toc21500 \h </w:instrText>
          </w:r>
          <w:r>
            <w:fldChar w:fldCharType="separate"/>
          </w:r>
          <w:r>
            <w:t>15</w:t>
          </w:r>
          <w:r>
            <w:fldChar w:fldCharType="end"/>
          </w:r>
          <w:r>
            <w:rPr>
              <w:rFonts w:ascii="宋体" w:hAnsi="宋体" w:eastAsia="宋体" w:cs="宋体"/>
              <w:spacing w:val="7"/>
              <w:szCs w:val="35"/>
            </w:rPr>
            <w:fldChar w:fldCharType="end"/>
          </w:r>
        </w:p>
        <w:p w14:paraId="2D97780F">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_Toc28246 </w:instrText>
          </w:r>
          <w:r>
            <w:rPr>
              <w:rFonts w:ascii="宋体" w:hAnsi="宋体" w:eastAsia="宋体" w:cs="宋体"/>
              <w:spacing w:val="7"/>
              <w:szCs w:val="35"/>
            </w:rPr>
            <w:fldChar w:fldCharType="separate"/>
          </w:r>
          <w:r>
            <w:rPr>
              <w:rFonts w:ascii="宋体" w:hAnsi="宋体" w:eastAsia="宋体" w:cs="宋体"/>
            </w:rPr>
            <w:t>12.响应报价</w:t>
          </w:r>
          <w:r>
            <w:tab/>
          </w:r>
          <w:r>
            <w:fldChar w:fldCharType="begin"/>
          </w:r>
          <w:r>
            <w:instrText xml:space="preserve"> PAGEREF _Toc28246 \h </w:instrText>
          </w:r>
          <w:r>
            <w:fldChar w:fldCharType="separate"/>
          </w:r>
          <w:r>
            <w:t>15</w:t>
          </w:r>
          <w:r>
            <w:fldChar w:fldCharType="end"/>
          </w:r>
          <w:r>
            <w:rPr>
              <w:rFonts w:ascii="宋体" w:hAnsi="宋体" w:eastAsia="宋体" w:cs="宋体"/>
              <w:spacing w:val="7"/>
              <w:szCs w:val="35"/>
            </w:rPr>
            <w:fldChar w:fldCharType="end"/>
          </w:r>
        </w:p>
        <w:p w14:paraId="165876A8">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_Toc20890 </w:instrText>
          </w:r>
          <w:r>
            <w:rPr>
              <w:rFonts w:ascii="宋体" w:hAnsi="宋体" w:eastAsia="宋体" w:cs="宋体"/>
              <w:spacing w:val="7"/>
              <w:szCs w:val="35"/>
            </w:rPr>
            <w:fldChar w:fldCharType="separate"/>
          </w:r>
          <w:r>
            <w:rPr>
              <w:rFonts w:ascii="宋体" w:hAnsi="宋体" w:eastAsia="宋体" w:cs="宋体"/>
            </w:rPr>
            <w:t>13.磋商保证金</w:t>
          </w:r>
          <w:r>
            <w:tab/>
          </w:r>
          <w:r>
            <w:fldChar w:fldCharType="begin"/>
          </w:r>
          <w:r>
            <w:instrText xml:space="preserve"> PAGEREF _Toc20890 \h </w:instrText>
          </w:r>
          <w:r>
            <w:fldChar w:fldCharType="separate"/>
          </w:r>
          <w:r>
            <w:t>15</w:t>
          </w:r>
          <w:r>
            <w:fldChar w:fldCharType="end"/>
          </w:r>
          <w:r>
            <w:rPr>
              <w:rFonts w:ascii="宋体" w:hAnsi="宋体" w:eastAsia="宋体" w:cs="宋体"/>
              <w:spacing w:val="7"/>
              <w:szCs w:val="35"/>
            </w:rPr>
            <w:fldChar w:fldCharType="end"/>
          </w:r>
        </w:p>
        <w:p w14:paraId="6D893490">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_Toc18756 </w:instrText>
          </w:r>
          <w:r>
            <w:rPr>
              <w:rFonts w:ascii="宋体" w:hAnsi="宋体" w:eastAsia="宋体" w:cs="宋体"/>
              <w:spacing w:val="7"/>
              <w:szCs w:val="35"/>
            </w:rPr>
            <w:fldChar w:fldCharType="separate"/>
          </w:r>
          <w:r>
            <w:rPr>
              <w:rFonts w:ascii="宋体" w:hAnsi="宋体" w:eastAsia="宋体" w:cs="宋体"/>
            </w:rPr>
            <w:t>14.磋商响应有效期</w:t>
          </w:r>
          <w:r>
            <w:tab/>
          </w:r>
          <w:r>
            <w:fldChar w:fldCharType="begin"/>
          </w:r>
          <w:r>
            <w:instrText xml:space="preserve"> PAGEREF _Toc18756 \h </w:instrText>
          </w:r>
          <w:r>
            <w:fldChar w:fldCharType="separate"/>
          </w:r>
          <w:r>
            <w:t>16</w:t>
          </w:r>
          <w:r>
            <w:fldChar w:fldCharType="end"/>
          </w:r>
          <w:r>
            <w:rPr>
              <w:rFonts w:ascii="宋体" w:hAnsi="宋体" w:eastAsia="宋体" w:cs="宋体"/>
              <w:spacing w:val="7"/>
              <w:szCs w:val="35"/>
            </w:rPr>
            <w:fldChar w:fldCharType="end"/>
          </w:r>
        </w:p>
        <w:p w14:paraId="3F5AC757">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_Toc5270 </w:instrText>
          </w:r>
          <w:r>
            <w:rPr>
              <w:rFonts w:ascii="宋体" w:hAnsi="宋体" w:eastAsia="宋体" w:cs="宋体"/>
              <w:spacing w:val="7"/>
              <w:szCs w:val="35"/>
            </w:rPr>
            <w:fldChar w:fldCharType="separate"/>
          </w:r>
          <w:r>
            <w:rPr>
              <w:rFonts w:ascii="宋体" w:hAnsi="宋体" w:eastAsia="宋体" w:cs="宋体"/>
            </w:rPr>
            <w:t>15.响应文件的式样和签署</w:t>
          </w:r>
          <w:r>
            <w:tab/>
          </w:r>
          <w:r>
            <w:fldChar w:fldCharType="begin"/>
          </w:r>
          <w:r>
            <w:instrText xml:space="preserve"> PAGEREF _Toc5270 \h </w:instrText>
          </w:r>
          <w:r>
            <w:fldChar w:fldCharType="separate"/>
          </w:r>
          <w:r>
            <w:t>16</w:t>
          </w:r>
          <w:r>
            <w:fldChar w:fldCharType="end"/>
          </w:r>
          <w:r>
            <w:rPr>
              <w:rFonts w:ascii="宋体" w:hAnsi="宋体" w:eastAsia="宋体" w:cs="宋体"/>
              <w:spacing w:val="7"/>
              <w:szCs w:val="35"/>
            </w:rPr>
            <w:fldChar w:fldCharType="end"/>
          </w:r>
        </w:p>
        <w:p w14:paraId="2E13AB28">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_Toc6053 </w:instrText>
          </w:r>
          <w:r>
            <w:rPr>
              <w:rFonts w:ascii="宋体" w:hAnsi="宋体" w:eastAsia="宋体" w:cs="宋体"/>
              <w:spacing w:val="7"/>
              <w:szCs w:val="35"/>
            </w:rPr>
            <w:fldChar w:fldCharType="separate"/>
          </w:r>
          <w:r>
            <w:rPr>
              <w:rFonts w:ascii="宋体" w:hAnsi="宋体" w:eastAsia="宋体" w:cs="宋体"/>
            </w:rPr>
            <w:t>16.响应文件的提交</w:t>
          </w:r>
          <w:r>
            <w:tab/>
          </w:r>
          <w:r>
            <w:fldChar w:fldCharType="begin"/>
          </w:r>
          <w:r>
            <w:instrText xml:space="preserve"> PAGEREF _Toc6053 \h </w:instrText>
          </w:r>
          <w:r>
            <w:fldChar w:fldCharType="separate"/>
          </w:r>
          <w:r>
            <w:t>16</w:t>
          </w:r>
          <w:r>
            <w:fldChar w:fldCharType="end"/>
          </w:r>
          <w:r>
            <w:rPr>
              <w:rFonts w:ascii="宋体" w:hAnsi="宋体" w:eastAsia="宋体" w:cs="宋体"/>
              <w:spacing w:val="7"/>
              <w:szCs w:val="35"/>
            </w:rPr>
            <w:fldChar w:fldCharType="end"/>
          </w:r>
        </w:p>
        <w:p w14:paraId="49C2B50D">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_Toc11159 </w:instrText>
          </w:r>
          <w:r>
            <w:rPr>
              <w:rFonts w:ascii="宋体" w:hAnsi="宋体" w:eastAsia="宋体" w:cs="宋体"/>
              <w:spacing w:val="7"/>
              <w:szCs w:val="35"/>
            </w:rPr>
            <w:fldChar w:fldCharType="separate"/>
          </w:r>
          <w:r>
            <w:rPr>
              <w:rFonts w:ascii="宋体" w:hAnsi="宋体" w:eastAsia="宋体" w:cs="宋体"/>
            </w:rPr>
            <w:t>17.响应文件的补充、修改或者撤回</w:t>
          </w:r>
          <w:r>
            <w:tab/>
          </w:r>
          <w:r>
            <w:fldChar w:fldCharType="begin"/>
          </w:r>
          <w:r>
            <w:instrText xml:space="preserve"> PAGEREF _Toc11159 \h </w:instrText>
          </w:r>
          <w:r>
            <w:fldChar w:fldCharType="separate"/>
          </w:r>
          <w:r>
            <w:t>16</w:t>
          </w:r>
          <w:r>
            <w:fldChar w:fldCharType="end"/>
          </w:r>
          <w:r>
            <w:rPr>
              <w:rFonts w:ascii="宋体" w:hAnsi="宋体" w:eastAsia="宋体" w:cs="宋体"/>
              <w:spacing w:val="7"/>
              <w:szCs w:val="35"/>
            </w:rPr>
            <w:fldChar w:fldCharType="end"/>
          </w:r>
        </w:p>
        <w:p w14:paraId="50DEB39A">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_Toc29647 </w:instrText>
          </w:r>
          <w:r>
            <w:rPr>
              <w:rFonts w:ascii="宋体" w:hAnsi="宋体" w:eastAsia="宋体" w:cs="宋体"/>
              <w:spacing w:val="7"/>
              <w:szCs w:val="35"/>
            </w:rPr>
            <w:fldChar w:fldCharType="separate"/>
          </w:r>
          <w:r>
            <w:t>四、磋商与评审</w:t>
          </w:r>
          <w:r>
            <w:tab/>
          </w:r>
          <w:r>
            <w:fldChar w:fldCharType="begin"/>
          </w:r>
          <w:r>
            <w:instrText xml:space="preserve"> PAGEREF _Toc29647 \h </w:instrText>
          </w:r>
          <w:r>
            <w:fldChar w:fldCharType="separate"/>
          </w:r>
          <w:r>
            <w:t>17</w:t>
          </w:r>
          <w:r>
            <w:fldChar w:fldCharType="end"/>
          </w:r>
          <w:r>
            <w:rPr>
              <w:rFonts w:ascii="宋体" w:hAnsi="宋体" w:eastAsia="宋体" w:cs="宋体"/>
              <w:spacing w:val="7"/>
              <w:szCs w:val="35"/>
            </w:rPr>
            <w:fldChar w:fldCharType="end"/>
          </w:r>
        </w:p>
        <w:p w14:paraId="7A9AB2D2">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_Toc15528 </w:instrText>
          </w:r>
          <w:r>
            <w:rPr>
              <w:rFonts w:ascii="宋体" w:hAnsi="宋体" w:eastAsia="宋体" w:cs="宋体"/>
              <w:spacing w:val="7"/>
              <w:szCs w:val="35"/>
            </w:rPr>
            <w:fldChar w:fldCharType="separate"/>
          </w:r>
          <w:r>
            <w:rPr>
              <w:rFonts w:ascii="宋体" w:hAnsi="宋体" w:eastAsia="宋体" w:cs="宋体"/>
            </w:rPr>
            <w:t>18.磋商</w:t>
          </w:r>
          <w:r>
            <w:tab/>
          </w:r>
          <w:r>
            <w:fldChar w:fldCharType="begin"/>
          </w:r>
          <w:r>
            <w:instrText xml:space="preserve"> PAGEREF _Toc15528 \h </w:instrText>
          </w:r>
          <w:r>
            <w:fldChar w:fldCharType="separate"/>
          </w:r>
          <w:r>
            <w:t>17</w:t>
          </w:r>
          <w:r>
            <w:fldChar w:fldCharType="end"/>
          </w:r>
          <w:r>
            <w:rPr>
              <w:rFonts w:ascii="宋体" w:hAnsi="宋体" w:eastAsia="宋体" w:cs="宋体"/>
              <w:spacing w:val="7"/>
              <w:szCs w:val="35"/>
            </w:rPr>
            <w:fldChar w:fldCharType="end"/>
          </w:r>
        </w:p>
        <w:p w14:paraId="218BC155">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_Toc13451 </w:instrText>
          </w:r>
          <w:r>
            <w:rPr>
              <w:rFonts w:ascii="宋体" w:hAnsi="宋体" w:eastAsia="宋体" w:cs="宋体"/>
              <w:spacing w:val="7"/>
              <w:szCs w:val="35"/>
            </w:rPr>
            <w:fldChar w:fldCharType="separate"/>
          </w:r>
          <w:r>
            <w:rPr>
              <w:rFonts w:ascii="宋体" w:hAnsi="宋体" w:eastAsia="宋体" w:cs="宋体"/>
            </w:rPr>
            <w:t>19.磋商小组组成</w:t>
          </w:r>
          <w:r>
            <w:tab/>
          </w:r>
          <w:r>
            <w:fldChar w:fldCharType="begin"/>
          </w:r>
          <w:r>
            <w:instrText xml:space="preserve"> PAGEREF _Toc13451 \h </w:instrText>
          </w:r>
          <w:r>
            <w:fldChar w:fldCharType="separate"/>
          </w:r>
          <w:r>
            <w:t>17</w:t>
          </w:r>
          <w:r>
            <w:fldChar w:fldCharType="end"/>
          </w:r>
          <w:r>
            <w:rPr>
              <w:rFonts w:ascii="宋体" w:hAnsi="宋体" w:eastAsia="宋体" w:cs="宋体"/>
              <w:spacing w:val="7"/>
              <w:szCs w:val="35"/>
            </w:rPr>
            <w:fldChar w:fldCharType="end"/>
          </w:r>
        </w:p>
        <w:p w14:paraId="67804DD3">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_Toc28875 </w:instrText>
          </w:r>
          <w:r>
            <w:rPr>
              <w:rFonts w:ascii="宋体" w:hAnsi="宋体" w:eastAsia="宋体" w:cs="宋体"/>
              <w:spacing w:val="7"/>
              <w:szCs w:val="35"/>
            </w:rPr>
            <w:fldChar w:fldCharType="separate"/>
          </w:r>
          <w:r>
            <w:rPr>
              <w:rFonts w:ascii="宋体" w:hAnsi="宋体" w:eastAsia="宋体" w:cs="宋体"/>
            </w:rPr>
            <w:t>20.无效磋商的情形</w:t>
          </w:r>
          <w:r>
            <w:tab/>
          </w:r>
          <w:r>
            <w:fldChar w:fldCharType="begin"/>
          </w:r>
          <w:r>
            <w:instrText xml:space="preserve"> PAGEREF _Toc28875 \h </w:instrText>
          </w:r>
          <w:r>
            <w:fldChar w:fldCharType="separate"/>
          </w:r>
          <w:r>
            <w:t>17</w:t>
          </w:r>
          <w:r>
            <w:fldChar w:fldCharType="end"/>
          </w:r>
          <w:r>
            <w:rPr>
              <w:rFonts w:ascii="宋体" w:hAnsi="宋体" w:eastAsia="宋体" w:cs="宋体"/>
              <w:spacing w:val="7"/>
              <w:szCs w:val="35"/>
            </w:rPr>
            <w:fldChar w:fldCharType="end"/>
          </w:r>
        </w:p>
        <w:p w14:paraId="5088AA4B">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_Toc16063 </w:instrText>
          </w:r>
          <w:r>
            <w:rPr>
              <w:rFonts w:ascii="宋体" w:hAnsi="宋体" w:eastAsia="宋体" w:cs="宋体"/>
              <w:spacing w:val="7"/>
              <w:szCs w:val="35"/>
            </w:rPr>
            <w:fldChar w:fldCharType="separate"/>
          </w:r>
          <w:r>
            <w:rPr>
              <w:rFonts w:hint="eastAsia" w:ascii="宋体" w:hAnsi="宋体" w:eastAsia="宋体" w:cs="宋体"/>
            </w:rPr>
            <w:t>21.串通磋商的情形</w:t>
          </w:r>
          <w:r>
            <w:tab/>
          </w:r>
          <w:r>
            <w:fldChar w:fldCharType="begin"/>
          </w:r>
          <w:r>
            <w:instrText xml:space="preserve"> PAGEREF _Toc16063 \h </w:instrText>
          </w:r>
          <w:r>
            <w:fldChar w:fldCharType="separate"/>
          </w:r>
          <w:r>
            <w:t>19</w:t>
          </w:r>
          <w:r>
            <w:fldChar w:fldCharType="end"/>
          </w:r>
          <w:r>
            <w:rPr>
              <w:rFonts w:ascii="宋体" w:hAnsi="宋体" w:eastAsia="宋体" w:cs="宋体"/>
              <w:spacing w:val="7"/>
              <w:szCs w:val="35"/>
            </w:rPr>
            <w:fldChar w:fldCharType="end"/>
          </w:r>
        </w:p>
        <w:p w14:paraId="35E8D93D">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_Toc16755 </w:instrText>
          </w:r>
          <w:r>
            <w:rPr>
              <w:rFonts w:ascii="宋体" w:hAnsi="宋体" w:eastAsia="宋体" w:cs="宋体"/>
              <w:spacing w:val="7"/>
              <w:szCs w:val="35"/>
            </w:rPr>
            <w:fldChar w:fldCharType="separate"/>
          </w:r>
          <w:r>
            <w:rPr>
              <w:rFonts w:hint="eastAsia" w:ascii="宋体" w:hAnsi="宋体" w:eastAsia="宋体" w:cs="宋体"/>
            </w:rPr>
            <w:t>22.响应文件的澄清</w:t>
          </w:r>
          <w:r>
            <w:tab/>
          </w:r>
          <w:r>
            <w:fldChar w:fldCharType="begin"/>
          </w:r>
          <w:r>
            <w:instrText xml:space="preserve"> PAGEREF _Toc16755 \h </w:instrText>
          </w:r>
          <w:r>
            <w:fldChar w:fldCharType="separate"/>
          </w:r>
          <w:r>
            <w:t>19</w:t>
          </w:r>
          <w:r>
            <w:fldChar w:fldCharType="end"/>
          </w:r>
          <w:r>
            <w:rPr>
              <w:rFonts w:ascii="宋体" w:hAnsi="宋体" w:eastAsia="宋体" w:cs="宋体"/>
              <w:spacing w:val="7"/>
              <w:szCs w:val="35"/>
            </w:rPr>
            <w:fldChar w:fldCharType="end"/>
          </w:r>
        </w:p>
        <w:p w14:paraId="011F5DCC">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_Toc21913 </w:instrText>
          </w:r>
          <w:r>
            <w:rPr>
              <w:rFonts w:ascii="宋体" w:hAnsi="宋体" w:eastAsia="宋体" w:cs="宋体"/>
              <w:spacing w:val="7"/>
              <w:szCs w:val="35"/>
            </w:rPr>
            <w:fldChar w:fldCharType="separate"/>
          </w:r>
          <w:r>
            <w:rPr>
              <w:rFonts w:hint="eastAsia" w:ascii="宋体" w:hAnsi="宋体" w:eastAsia="宋体" w:cs="宋体"/>
            </w:rPr>
            <w:t>23.磋商内容</w:t>
          </w:r>
          <w:r>
            <w:tab/>
          </w:r>
          <w:r>
            <w:fldChar w:fldCharType="begin"/>
          </w:r>
          <w:r>
            <w:instrText xml:space="preserve"> PAGEREF _Toc21913 \h </w:instrText>
          </w:r>
          <w:r>
            <w:fldChar w:fldCharType="separate"/>
          </w:r>
          <w:r>
            <w:t>19</w:t>
          </w:r>
          <w:r>
            <w:fldChar w:fldCharType="end"/>
          </w:r>
          <w:r>
            <w:rPr>
              <w:rFonts w:ascii="宋体" w:hAnsi="宋体" w:eastAsia="宋体" w:cs="宋体"/>
              <w:spacing w:val="7"/>
              <w:szCs w:val="35"/>
            </w:rPr>
            <w:fldChar w:fldCharType="end"/>
          </w:r>
        </w:p>
        <w:p w14:paraId="0B7E90B5">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_Toc24213 </w:instrText>
          </w:r>
          <w:r>
            <w:rPr>
              <w:rFonts w:ascii="宋体" w:hAnsi="宋体" w:eastAsia="宋体" w:cs="宋体"/>
              <w:spacing w:val="7"/>
              <w:szCs w:val="35"/>
            </w:rPr>
            <w:fldChar w:fldCharType="separate"/>
          </w:r>
          <w:r>
            <w:rPr>
              <w:rFonts w:hint="eastAsia" w:ascii="宋体" w:hAnsi="宋体" w:eastAsia="宋体" w:cs="宋体"/>
            </w:rPr>
            <w:t>24.最后报价的提交</w:t>
          </w:r>
          <w:r>
            <w:tab/>
          </w:r>
          <w:r>
            <w:fldChar w:fldCharType="begin"/>
          </w:r>
          <w:r>
            <w:instrText xml:space="preserve"> PAGEREF _Toc24213 \h </w:instrText>
          </w:r>
          <w:r>
            <w:fldChar w:fldCharType="separate"/>
          </w:r>
          <w:r>
            <w:t>20</w:t>
          </w:r>
          <w:r>
            <w:fldChar w:fldCharType="end"/>
          </w:r>
          <w:r>
            <w:rPr>
              <w:rFonts w:ascii="宋体" w:hAnsi="宋体" w:eastAsia="宋体" w:cs="宋体"/>
              <w:spacing w:val="7"/>
              <w:szCs w:val="35"/>
            </w:rPr>
            <w:fldChar w:fldCharType="end"/>
          </w:r>
        </w:p>
        <w:p w14:paraId="017FA94B">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_Toc25800 </w:instrText>
          </w:r>
          <w:r>
            <w:rPr>
              <w:rFonts w:ascii="宋体" w:hAnsi="宋体" w:eastAsia="宋体" w:cs="宋体"/>
              <w:spacing w:val="7"/>
              <w:szCs w:val="35"/>
            </w:rPr>
            <w:fldChar w:fldCharType="separate"/>
          </w:r>
          <w:r>
            <w:rPr>
              <w:rFonts w:hint="eastAsia" w:ascii="宋体" w:hAnsi="宋体" w:eastAsia="宋体" w:cs="宋体"/>
            </w:rPr>
            <w:t>25.竞争性磋商特殊情况处理</w:t>
          </w:r>
          <w:r>
            <w:tab/>
          </w:r>
          <w:r>
            <w:fldChar w:fldCharType="begin"/>
          </w:r>
          <w:r>
            <w:instrText xml:space="preserve"> PAGEREF _Toc25800 \h </w:instrText>
          </w:r>
          <w:r>
            <w:fldChar w:fldCharType="separate"/>
          </w:r>
          <w:r>
            <w:t>20</w:t>
          </w:r>
          <w:r>
            <w:fldChar w:fldCharType="end"/>
          </w:r>
          <w:r>
            <w:rPr>
              <w:rFonts w:ascii="宋体" w:hAnsi="宋体" w:eastAsia="宋体" w:cs="宋体"/>
              <w:spacing w:val="7"/>
              <w:szCs w:val="35"/>
            </w:rPr>
            <w:fldChar w:fldCharType="end"/>
          </w:r>
        </w:p>
        <w:p w14:paraId="0CB038FD">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_Toc23145 </w:instrText>
          </w:r>
          <w:r>
            <w:rPr>
              <w:rFonts w:ascii="宋体" w:hAnsi="宋体" w:eastAsia="宋体" w:cs="宋体"/>
              <w:spacing w:val="7"/>
              <w:szCs w:val="35"/>
            </w:rPr>
            <w:fldChar w:fldCharType="separate"/>
          </w:r>
          <w:r>
            <w:rPr>
              <w:rFonts w:hint="eastAsia"/>
            </w:rPr>
            <w:t>五、确定成交结果</w:t>
          </w:r>
          <w:r>
            <w:tab/>
          </w:r>
          <w:r>
            <w:fldChar w:fldCharType="begin"/>
          </w:r>
          <w:r>
            <w:instrText xml:space="preserve"> PAGEREF _Toc23145 \h </w:instrText>
          </w:r>
          <w:r>
            <w:fldChar w:fldCharType="separate"/>
          </w:r>
          <w:r>
            <w:t>21</w:t>
          </w:r>
          <w:r>
            <w:fldChar w:fldCharType="end"/>
          </w:r>
          <w:r>
            <w:rPr>
              <w:rFonts w:ascii="宋体" w:hAnsi="宋体" w:eastAsia="宋体" w:cs="宋体"/>
              <w:spacing w:val="7"/>
              <w:szCs w:val="35"/>
            </w:rPr>
            <w:fldChar w:fldCharType="end"/>
          </w:r>
        </w:p>
        <w:p w14:paraId="3E7C26C6">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_Toc24009 </w:instrText>
          </w:r>
          <w:r>
            <w:rPr>
              <w:rFonts w:ascii="宋体" w:hAnsi="宋体" w:eastAsia="宋体" w:cs="宋体"/>
              <w:spacing w:val="7"/>
              <w:szCs w:val="35"/>
            </w:rPr>
            <w:fldChar w:fldCharType="separate"/>
          </w:r>
          <w:r>
            <w:rPr>
              <w:rFonts w:hint="eastAsia" w:ascii="宋体" w:hAnsi="宋体" w:eastAsia="宋体" w:cs="宋体"/>
            </w:rPr>
            <w:t>26.确定成交供应商</w:t>
          </w:r>
          <w:r>
            <w:tab/>
          </w:r>
          <w:r>
            <w:fldChar w:fldCharType="begin"/>
          </w:r>
          <w:r>
            <w:instrText xml:space="preserve"> PAGEREF _Toc24009 \h </w:instrText>
          </w:r>
          <w:r>
            <w:fldChar w:fldCharType="separate"/>
          </w:r>
          <w:r>
            <w:t>21</w:t>
          </w:r>
          <w:r>
            <w:fldChar w:fldCharType="end"/>
          </w:r>
          <w:r>
            <w:rPr>
              <w:rFonts w:ascii="宋体" w:hAnsi="宋体" w:eastAsia="宋体" w:cs="宋体"/>
              <w:spacing w:val="7"/>
              <w:szCs w:val="35"/>
            </w:rPr>
            <w:fldChar w:fldCharType="end"/>
          </w:r>
        </w:p>
        <w:p w14:paraId="4759EE08">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_Toc28694 </w:instrText>
          </w:r>
          <w:r>
            <w:rPr>
              <w:rFonts w:ascii="宋体" w:hAnsi="宋体" w:eastAsia="宋体" w:cs="宋体"/>
              <w:spacing w:val="7"/>
              <w:szCs w:val="35"/>
            </w:rPr>
            <w:fldChar w:fldCharType="separate"/>
          </w:r>
          <w:r>
            <w:rPr>
              <w:rFonts w:hint="eastAsia"/>
            </w:rPr>
            <w:t>六、授予合同</w:t>
          </w:r>
          <w:r>
            <w:tab/>
          </w:r>
          <w:r>
            <w:fldChar w:fldCharType="begin"/>
          </w:r>
          <w:r>
            <w:instrText xml:space="preserve"> PAGEREF _Toc28694 \h </w:instrText>
          </w:r>
          <w:r>
            <w:fldChar w:fldCharType="separate"/>
          </w:r>
          <w:r>
            <w:t>21</w:t>
          </w:r>
          <w:r>
            <w:fldChar w:fldCharType="end"/>
          </w:r>
          <w:r>
            <w:rPr>
              <w:rFonts w:ascii="宋体" w:hAnsi="宋体" w:eastAsia="宋体" w:cs="宋体"/>
              <w:spacing w:val="7"/>
              <w:szCs w:val="35"/>
            </w:rPr>
            <w:fldChar w:fldCharType="end"/>
          </w:r>
        </w:p>
        <w:p w14:paraId="40F8E17E">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_Toc18514 </w:instrText>
          </w:r>
          <w:r>
            <w:rPr>
              <w:rFonts w:ascii="宋体" w:hAnsi="宋体" w:eastAsia="宋体" w:cs="宋体"/>
              <w:spacing w:val="7"/>
              <w:szCs w:val="35"/>
            </w:rPr>
            <w:fldChar w:fldCharType="separate"/>
          </w:r>
          <w:r>
            <w:rPr>
              <w:rFonts w:hint="eastAsia" w:ascii="宋体" w:hAnsi="宋体" w:eastAsia="宋体" w:cs="宋体"/>
            </w:rPr>
            <w:t>27.磋商组织方接受和拒绝任何或所有响应的权利</w:t>
          </w:r>
          <w:r>
            <w:tab/>
          </w:r>
          <w:r>
            <w:fldChar w:fldCharType="begin"/>
          </w:r>
          <w:r>
            <w:instrText xml:space="preserve"> PAGEREF _Toc18514 \h </w:instrText>
          </w:r>
          <w:r>
            <w:fldChar w:fldCharType="separate"/>
          </w:r>
          <w:r>
            <w:t>21</w:t>
          </w:r>
          <w:r>
            <w:fldChar w:fldCharType="end"/>
          </w:r>
          <w:r>
            <w:rPr>
              <w:rFonts w:ascii="宋体" w:hAnsi="宋体" w:eastAsia="宋体" w:cs="宋体"/>
              <w:spacing w:val="7"/>
              <w:szCs w:val="35"/>
            </w:rPr>
            <w:fldChar w:fldCharType="end"/>
          </w:r>
        </w:p>
        <w:p w14:paraId="05E046E4">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_Toc9441 </w:instrText>
          </w:r>
          <w:r>
            <w:rPr>
              <w:rFonts w:ascii="宋体" w:hAnsi="宋体" w:eastAsia="宋体" w:cs="宋体"/>
              <w:spacing w:val="7"/>
              <w:szCs w:val="35"/>
            </w:rPr>
            <w:fldChar w:fldCharType="separate"/>
          </w:r>
          <w:r>
            <w:rPr>
              <w:rFonts w:hint="eastAsia" w:ascii="宋体" w:hAnsi="宋体" w:eastAsia="宋体" w:cs="宋体"/>
            </w:rPr>
            <w:t>28.成交通知书</w:t>
          </w:r>
          <w:r>
            <w:tab/>
          </w:r>
          <w:r>
            <w:fldChar w:fldCharType="begin"/>
          </w:r>
          <w:r>
            <w:instrText xml:space="preserve"> PAGEREF _Toc9441 \h </w:instrText>
          </w:r>
          <w:r>
            <w:fldChar w:fldCharType="separate"/>
          </w:r>
          <w:r>
            <w:t>21</w:t>
          </w:r>
          <w:r>
            <w:fldChar w:fldCharType="end"/>
          </w:r>
          <w:r>
            <w:rPr>
              <w:rFonts w:ascii="宋体" w:hAnsi="宋体" w:eastAsia="宋体" w:cs="宋体"/>
              <w:spacing w:val="7"/>
              <w:szCs w:val="35"/>
            </w:rPr>
            <w:fldChar w:fldCharType="end"/>
          </w:r>
        </w:p>
        <w:p w14:paraId="7124AC6C">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_Toc26465 </w:instrText>
          </w:r>
          <w:r>
            <w:rPr>
              <w:rFonts w:ascii="宋体" w:hAnsi="宋体" w:eastAsia="宋体" w:cs="宋体"/>
              <w:spacing w:val="7"/>
              <w:szCs w:val="35"/>
            </w:rPr>
            <w:fldChar w:fldCharType="separate"/>
          </w:r>
          <w:r>
            <w:rPr>
              <w:rFonts w:hint="eastAsia" w:ascii="宋体" w:hAnsi="宋体" w:eastAsia="宋体" w:cs="宋体"/>
            </w:rPr>
            <w:t>29.签订合同</w:t>
          </w:r>
          <w:r>
            <w:tab/>
          </w:r>
          <w:r>
            <w:fldChar w:fldCharType="begin"/>
          </w:r>
          <w:r>
            <w:instrText xml:space="preserve"> PAGEREF _Toc26465 \h </w:instrText>
          </w:r>
          <w:r>
            <w:fldChar w:fldCharType="separate"/>
          </w:r>
          <w:r>
            <w:t>21</w:t>
          </w:r>
          <w:r>
            <w:fldChar w:fldCharType="end"/>
          </w:r>
          <w:r>
            <w:rPr>
              <w:rFonts w:ascii="宋体" w:hAnsi="宋体" w:eastAsia="宋体" w:cs="宋体"/>
              <w:spacing w:val="7"/>
              <w:szCs w:val="35"/>
            </w:rPr>
            <w:fldChar w:fldCharType="end"/>
          </w:r>
        </w:p>
        <w:p w14:paraId="7F4424C2">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_Toc16267 </w:instrText>
          </w:r>
          <w:r>
            <w:rPr>
              <w:rFonts w:ascii="宋体" w:hAnsi="宋体" w:eastAsia="宋体" w:cs="宋体"/>
              <w:spacing w:val="7"/>
              <w:szCs w:val="35"/>
            </w:rPr>
            <w:fldChar w:fldCharType="separate"/>
          </w:r>
          <w:r>
            <w:rPr>
              <w:rFonts w:hint="eastAsia" w:ascii="宋体" w:hAnsi="宋体" w:eastAsia="宋体" w:cs="宋体"/>
            </w:rPr>
            <w:t>30.履约保证金</w:t>
          </w:r>
          <w:r>
            <w:tab/>
          </w:r>
          <w:r>
            <w:fldChar w:fldCharType="begin"/>
          </w:r>
          <w:r>
            <w:instrText xml:space="preserve"> PAGEREF _Toc16267 \h </w:instrText>
          </w:r>
          <w:r>
            <w:fldChar w:fldCharType="separate"/>
          </w:r>
          <w:r>
            <w:t>22</w:t>
          </w:r>
          <w:r>
            <w:fldChar w:fldCharType="end"/>
          </w:r>
          <w:r>
            <w:rPr>
              <w:rFonts w:ascii="宋体" w:hAnsi="宋体" w:eastAsia="宋体" w:cs="宋体"/>
              <w:spacing w:val="7"/>
              <w:szCs w:val="35"/>
            </w:rPr>
            <w:fldChar w:fldCharType="end"/>
          </w:r>
        </w:p>
        <w:p w14:paraId="7EDA039D">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_Toc8060 </w:instrText>
          </w:r>
          <w:r>
            <w:rPr>
              <w:rFonts w:ascii="宋体" w:hAnsi="宋体" w:eastAsia="宋体" w:cs="宋体"/>
              <w:spacing w:val="7"/>
              <w:szCs w:val="35"/>
            </w:rPr>
            <w:fldChar w:fldCharType="separate"/>
          </w:r>
          <w:r>
            <w:rPr>
              <w:rFonts w:hint="eastAsia"/>
            </w:rPr>
            <w:t>七、询问、质疑、投诉</w:t>
          </w:r>
          <w:r>
            <w:tab/>
          </w:r>
          <w:r>
            <w:fldChar w:fldCharType="begin"/>
          </w:r>
          <w:r>
            <w:instrText xml:space="preserve"> PAGEREF _Toc8060 \h </w:instrText>
          </w:r>
          <w:r>
            <w:fldChar w:fldCharType="separate"/>
          </w:r>
          <w:r>
            <w:t>22</w:t>
          </w:r>
          <w:r>
            <w:fldChar w:fldCharType="end"/>
          </w:r>
          <w:r>
            <w:rPr>
              <w:rFonts w:ascii="宋体" w:hAnsi="宋体" w:eastAsia="宋体" w:cs="宋体"/>
              <w:spacing w:val="7"/>
              <w:szCs w:val="35"/>
            </w:rPr>
            <w:fldChar w:fldCharType="end"/>
          </w:r>
        </w:p>
        <w:p w14:paraId="38FEF7E8">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_Toc12302 </w:instrText>
          </w:r>
          <w:r>
            <w:rPr>
              <w:rFonts w:ascii="宋体" w:hAnsi="宋体" w:eastAsia="宋体" w:cs="宋体"/>
              <w:spacing w:val="7"/>
              <w:szCs w:val="35"/>
            </w:rPr>
            <w:fldChar w:fldCharType="separate"/>
          </w:r>
          <w:r>
            <w:rPr>
              <w:rFonts w:hint="eastAsia" w:ascii="宋体" w:hAnsi="宋体" w:eastAsia="宋体" w:cs="宋体"/>
            </w:rPr>
            <w:t>31.询问</w:t>
          </w:r>
          <w:r>
            <w:tab/>
          </w:r>
          <w:r>
            <w:fldChar w:fldCharType="begin"/>
          </w:r>
          <w:r>
            <w:instrText xml:space="preserve"> PAGEREF _Toc12302 \h </w:instrText>
          </w:r>
          <w:r>
            <w:fldChar w:fldCharType="separate"/>
          </w:r>
          <w:r>
            <w:t>22</w:t>
          </w:r>
          <w:r>
            <w:fldChar w:fldCharType="end"/>
          </w:r>
          <w:r>
            <w:rPr>
              <w:rFonts w:ascii="宋体" w:hAnsi="宋体" w:eastAsia="宋体" w:cs="宋体"/>
              <w:spacing w:val="7"/>
              <w:szCs w:val="35"/>
            </w:rPr>
            <w:fldChar w:fldCharType="end"/>
          </w:r>
        </w:p>
        <w:p w14:paraId="58AB328D">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_Toc28698 </w:instrText>
          </w:r>
          <w:r>
            <w:rPr>
              <w:rFonts w:ascii="宋体" w:hAnsi="宋体" w:eastAsia="宋体" w:cs="宋体"/>
              <w:spacing w:val="7"/>
              <w:szCs w:val="35"/>
            </w:rPr>
            <w:fldChar w:fldCharType="separate"/>
          </w:r>
          <w:r>
            <w:rPr>
              <w:rFonts w:hint="eastAsia" w:ascii="宋体" w:hAnsi="宋体" w:eastAsia="宋体" w:cs="宋体"/>
            </w:rPr>
            <w:t>32.质疑</w:t>
          </w:r>
          <w:r>
            <w:tab/>
          </w:r>
          <w:r>
            <w:fldChar w:fldCharType="begin"/>
          </w:r>
          <w:r>
            <w:instrText xml:space="preserve"> PAGEREF _Toc28698 \h </w:instrText>
          </w:r>
          <w:r>
            <w:fldChar w:fldCharType="separate"/>
          </w:r>
          <w:r>
            <w:t>22</w:t>
          </w:r>
          <w:r>
            <w:fldChar w:fldCharType="end"/>
          </w:r>
          <w:r>
            <w:rPr>
              <w:rFonts w:ascii="宋体" w:hAnsi="宋体" w:eastAsia="宋体" w:cs="宋体"/>
              <w:spacing w:val="7"/>
              <w:szCs w:val="35"/>
            </w:rPr>
            <w:fldChar w:fldCharType="end"/>
          </w:r>
        </w:p>
        <w:p w14:paraId="59E38AA2">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_Toc4570 </w:instrText>
          </w:r>
          <w:r>
            <w:rPr>
              <w:rFonts w:ascii="宋体" w:hAnsi="宋体" w:eastAsia="宋体" w:cs="宋体"/>
              <w:spacing w:val="7"/>
              <w:szCs w:val="35"/>
            </w:rPr>
            <w:fldChar w:fldCharType="separate"/>
          </w:r>
          <w:r>
            <w:rPr>
              <w:rFonts w:hint="eastAsia" w:ascii="宋体" w:hAnsi="宋体" w:eastAsia="宋体" w:cs="宋体"/>
            </w:rPr>
            <w:t>33.投诉</w:t>
          </w:r>
          <w:r>
            <w:tab/>
          </w:r>
          <w:r>
            <w:fldChar w:fldCharType="begin"/>
          </w:r>
          <w:r>
            <w:instrText xml:space="preserve"> PAGEREF _Toc4570 \h </w:instrText>
          </w:r>
          <w:r>
            <w:fldChar w:fldCharType="separate"/>
          </w:r>
          <w:r>
            <w:t>23</w:t>
          </w:r>
          <w:r>
            <w:fldChar w:fldCharType="end"/>
          </w:r>
          <w:r>
            <w:rPr>
              <w:rFonts w:ascii="宋体" w:hAnsi="宋体" w:eastAsia="宋体" w:cs="宋体"/>
              <w:spacing w:val="7"/>
              <w:szCs w:val="35"/>
            </w:rPr>
            <w:fldChar w:fldCharType="end"/>
          </w:r>
        </w:p>
        <w:p w14:paraId="21250393">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_Toc8543 </w:instrText>
          </w:r>
          <w:r>
            <w:rPr>
              <w:rFonts w:ascii="宋体" w:hAnsi="宋体" w:eastAsia="宋体" w:cs="宋体"/>
              <w:spacing w:val="7"/>
              <w:szCs w:val="35"/>
            </w:rPr>
            <w:fldChar w:fldCharType="separate"/>
          </w:r>
          <w:r>
            <w:rPr>
              <w:rFonts w:hint="eastAsia"/>
            </w:rPr>
            <w:t>八、诚实信用和解释权</w:t>
          </w:r>
          <w:r>
            <w:tab/>
          </w:r>
          <w:r>
            <w:fldChar w:fldCharType="begin"/>
          </w:r>
          <w:r>
            <w:instrText xml:space="preserve"> PAGEREF _Toc8543 \h </w:instrText>
          </w:r>
          <w:r>
            <w:fldChar w:fldCharType="separate"/>
          </w:r>
          <w:r>
            <w:t>23</w:t>
          </w:r>
          <w:r>
            <w:fldChar w:fldCharType="end"/>
          </w:r>
          <w:r>
            <w:rPr>
              <w:rFonts w:ascii="宋体" w:hAnsi="宋体" w:eastAsia="宋体" w:cs="宋体"/>
              <w:spacing w:val="7"/>
              <w:szCs w:val="35"/>
            </w:rPr>
            <w:fldChar w:fldCharType="end"/>
          </w:r>
        </w:p>
        <w:p w14:paraId="7F7B9D2A">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_Toc1330 </w:instrText>
          </w:r>
          <w:r>
            <w:rPr>
              <w:rFonts w:ascii="宋体" w:hAnsi="宋体" w:eastAsia="宋体" w:cs="宋体"/>
              <w:spacing w:val="7"/>
              <w:szCs w:val="35"/>
            </w:rPr>
            <w:fldChar w:fldCharType="separate"/>
          </w:r>
          <w:r>
            <w:rPr>
              <w:rFonts w:hint="eastAsia" w:ascii="宋体" w:hAnsi="宋体" w:eastAsia="宋体" w:cs="宋体"/>
            </w:rPr>
            <w:t>34.诚实信用</w:t>
          </w:r>
          <w:r>
            <w:tab/>
          </w:r>
          <w:r>
            <w:fldChar w:fldCharType="begin"/>
          </w:r>
          <w:r>
            <w:instrText xml:space="preserve"> PAGEREF _Toc1330 \h </w:instrText>
          </w:r>
          <w:r>
            <w:fldChar w:fldCharType="separate"/>
          </w:r>
          <w:r>
            <w:t>23</w:t>
          </w:r>
          <w:r>
            <w:fldChar w:fldCharType="end"/>
          </w:r>
          <w:r>
            <w:rPr>
              <w:rFonts w:ascii="宋体" w:hAnsi="宋体" w:eastAsia="宋体" w:cs="宋体"/>
              <w:spacing w:val="7"/>
              <w:szCs w:val="35"/>
            </w:rPr>
            <w:fldChar w:fldCharType="end"/>
          </w:r>
        </w:p>
        <w:p w14:paraId="02E2E382">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_Toc4226 </w:instrText>
          </w:r>
          <w:r>
            <w:rPr>
              <w:rFonts w:ascii="宋体" w:hAnsi="宋体" w:eastAsia="宋体" w:cs="宋体"/>
              <w:spacing w:val="7"/>
              <w:szCs w:val="35"/>
            </w:rPr>
            <w:fldChar w:fldCharType="separate"/>
          </w:r>
          <w:r>
            <w:rPr>
              <w:rFonts w:hint="eastAsia" w:ascii="宋体" w:hAnsi="宋体" w:eastAsia="宋体" w:cs="宋体"/>
            </w:rPr>
            <w:t>35.解释权</w:t>
          </w:r>
          <w:r>
            <w:tab/>
          </w:r>
          <w:r>
            <w:fldChar w:fldCharType="begin"/>
          </w:r>
          <w:r>
            <w:instrText xml:space="preserve"> PAGEREF _Toc4226 \h </w:instrText>
          </w:r>
          <w:r>
            <w:fldChar w:fldCharType="separate"/>
          </w:r>
          <w:r>
            <w:t>24</w:t>
          </w:r>
          <w:r>
            <w:fldChar w:fldCharType="end"/>
          </w:r>
          <w:r>
            <w:rPr>
              <w:rFonts w:ascii="宋体" w:hAnsi="宋体" w:eastAsia="宋体" w:cs="宋体"/>
              <w:spacing w:val="7"/>
              <w:szCs w:val="35"/>
            </w:rPr>
            <w:fldChar w:fldCharType="end"/>
          </w:r>
        </w:p>
        <w:p w14:paraId="09BE833E">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_Toc16490 </w:instrText>
          </w:r>
          <w:r>
            <w:rPr>
              <w:rFonts w:ascii="宋体" w:hAnsi="宋体" w:eastAsia="宋体" w:cs="宋体"/>
              <w:spacing w:val="7"/>
              <w:szCs w:val="35"/>
            </w:rPr>
            <w:fldChar w:fldCharType="separate"/>
          </w:r>
          <w:r>
            <w:rPr>
              <w:rFonts w:hint="eastAsia" w:ascii="宋体" w:hAnsi="宋体" w:eastAsia="宋体" w:cs="宋体"/>
            </w:rPr>
            <w:t>36.适用法律及约束力</w:t>
          </w:r>
          <w:r>
            <w:tab/>
          </w:r>
          <w:r>
            <w:fldChar w:fldCharType="begin"/>
          </w:r>
          <w:r>
            <w:instrText xml:space="preserve"> PAGEREF _Toc16490 \h </w:instrText>
          </w:r>
          <w:r>
            <w:fldChar w:fldCharType="separate"/>
          </w:r>
          <w:r>
            <w:t>24</w:t>
          </w:r>
          <w:r>
            <w:fldChar w:fldCharType="end"/>
          </w:r>
          <w:r>
            <w:rPr>
              <w:rFonts w:ascii="宋体" w:hAnsi="宋体" w:eastAsia="宋体" w:cs="宋体"/>
              <w:spacing w:val="7"/>
              <w:szCs w:val="35"/>
            </w:rPr>
            <w:fldChar w:fldCharType="end"/>
          </w:r>
        </w:p>
        <w:p w14:paraId="042D5A98">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_Toc6295 </w:instrText>
          </w:r>
          <w:r>
            <w:rPr>
              <w:rFonts w:ascii="宋体" w:hAnsi="宋体" w:eastAsia="宋体" w:cs="宋体"/>
              <w:spacing w:val="7"/>
              <w:szCs w:val="35"/>
            </w:rPr>
            <w:fldChar w:fldCharType="separate"/>
          </w:r>
          <w:r>
            <w:rPr>
              <w:rFonts w:hint="eastAsia" w:asciiTheme="minorEastAsia" w:hAnsiTheme="minorEastAsia" w:eastAsiaTheme="minorEastAsia" w:cstheme="minorEastAsia"/>
              <w:szCs w:val="24"/>
              <w:lang w:eastAsia="zh-CN"/>
            </w:rPr>
            <w:t>代建管理</w:t>
          </w:r>
          <w:r>
            <w:rPr>
              <w:rFonts w:hint="eastAsia" w:asciiTheme="minorEastAsia" w:hAnsiTheme="minorEastAsia" w:eastAsiaTheme="minorEastAsia" w:cstheme="minorEastAsia"/>
              <w:szCs w:val="24"/>
            </w:rPr>
            <w:t>服务合同</w:t>
          </w:r>
          <w:r>
            <w:tab/>
          </w:r>
          <w:r>
            <w:fldChar w:fldCharType="begin"/>
          </w:r>
          <w:r>
            <w:instrText xml:space="preserve"> PAGEREF _Toc6295 \h </w:instrText>
          </w:r>
          <w:r>
            <w:fldChar w:fldCharType="separate"/>
          </w:r>
          <w:r>
            <w:t>25</w:t>
          </w:r>
          <w:r>
            <w:fldChar w:fldCharType="end"/>
          </w:r>
          <w:r>
            <w:rPr>
              <w:rFonts w:ascii="宋体" w:hAnsi="宋体" w:eastAsia="宋体" w:cs="宋体"/>
              <w:spacing w:val="7"/>
              <w:szCs w:val="35"/>
            </w:rPr>
            <w:fldChar w:fldCharType="end"/>
          </w:r>
        </w:p>
        <w:p w14:paraId="55C11D54">
          <w:pPr>
            <w:pStyle w:val="12"/>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_Toc15 </w:instrText>
          </w:r>
          <w:r>
            <w:rPr>
              <w:rFonts w:ascii="宋体" w:hAnsi="宋体" w:eastAsia="宋体" w:cs="宋体"/>
              <w:spacing w:val="7"/>
              <w:szCs w:val="35"/>
            </w:rPr>
            <w:fldChar w:fldCharType="separate"/>
          </w:r>
          <w:r>
            <w:rPr>
              <w:rFonts w:hint="eastAsia"/>
            </w:rPr>
            <w:t>第四部分</w:t>
          </w:r>
          <w:r>
            <w:rPr>
              <w:rFonts w:hint="eastAsia"/>
              <w:lang w:val="en-US" w:eastAsia="zh-CN"/>
            </w:rPr>
            <w:t xml:space="preserve"> </w:t>
          </w:r>
          <w:r>
            <w:rPr>
              <w:rFonts w:hint="eastAsia"/>
            </w:rPr>
            <w:t>采购需求</w:t>
          </w:r>
          <w:r>
            <w:tab/>
          </w:r>
          <w:r>
            <w:fldChar w:fldCharType="begin"/>
          </w:r>
          <w:r>
            <w:instrText xml:space="preserve"> PAGEREF _Toc15 \h </w:instrText>
          </w:r>
          <w:r>
            <w:fldChar w:fldCharType="separate"/>
          </w:r>
          <w:r>
            <w:t>31</w:t>
          </w:r>
          <w:r>
            <w:fldChar w:fldCharType="end"/>
          </w:r>
          <w:r>
            <w:rPr>
              <w:rFonts w:ascii="宋体" w:hAnsi="宋体" w:eastAsia="宋体" w:cs="宋体"/>
              <w:spacing w:val="7"/>
              <w:szCs w:val="35"/>
            </w:rPr>
            <w:fldChar w:fldCharType="end"/>
          </w:r>
        </w:p>
        <w:p w14:paraId="1D7A8ADC">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_Toc17055 </w:instrText>
          </w:r>
          <w:r>
            <w:rPr>
              <w:rFonts w:ascii="宋体" w:hAnsi="宋体" w:eastAsia="宋体" w:cs="宋体"/>
              <w:spacing w:val="7"/>
              <w:szCs w:val="35"/>
            </w:rPr>
            <w:fldChar w:fldCharType="separate"/>
          </w:r>
          <w:r>
            <w:rPr>
              <w:rFonts w:hint="eastAsia" w:ascii="宋体" w:hAnsi="宋体" w:eastAsia="宋体" w:cs="宋体"/>
              <w:szCs w:val="24"/>
              <w:lang w:val="zh-CN"/>
            </w:rPr>
            <w:t>一、项目概况</w:t>
          </w:r>
          <w:r>
            <w:tab/>
          </w:r>
          <w:r>
            <w:fldChar w:fldCharType="begin"/>
          </w:r>
          <w:r>
            <w:instrText xml:space="preserve"> PAGEREF _Toc17055 \h </w:instrText>
          </w:r>
          <w:r>
            <w:fldChar w:fldCharType="separate"/>
          </w:r>
          <w:r>
            <w:t>31</w:t>
          </w:r>
          <w:r>
            <w:fldChar w:fldCharType="end"/>
          </w:r>
          <w:r>
            <w:rPr>
              <w:rFonts w:ascii="宋体" w:hAnsi="宋体" w:eastAsia="宋体" w:cs="宋体"/>
              <w:spacing w:val="7"/>
              <w:szCs w:val="35"/>
            </w:rPr>
            <w:fldChar w:fldCharType="end"/>
          </w:r>
        </w:p>
        <w:p w14:paraId="666DAD01">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_Toc30008 </w:instrText>
          </w:r>
          <w:r>
            <w:rPr>
              <w:rFonts w:ascii="宋体" w:hAnsi="宋体" w:eastAsia="宋体" w:cs="宋体"/>
              <w:spacing w:val="7"/>
              <w:szCs w:val="35"/>
            </w:rPr>
            <w:fldChar w:fldCharType="separate"/>
          </w:r>
          <w:r>
            <w:rPr>
              <w:rFonts w:hint="eastAsia" w:ascii="宋体" w:hAnsi="宋体" w:eastAsia="宋体" w:cs="宋体"/>
              <w:szCs w:val="24"/>
              <w:lang w:val="zh-CN"/>
            </w:rPr>
            <w:t>二、</w:t>
          </w:r>
          <w:r>
            <w:rPr>
              <w:rFonts w:hint="eastAsia" w:ascii="宋体" w:hAnsi="宋体" w:cs="宋体"/>
              <w:szCs w:val="24"/>
              <w:lang w:val="en-US" w:eastAsia="zh-CN"/>
            </w:rPr>
            <w:t>代建</w:t>
          </w:r>
          <w:r>
            <w:rPr>
              <w:rFonts w:hint="eastAsia" w:ascii="宋体" w:hAnsi="宋体" w:eastAsia="宋体" w:cs="宋体"/>
              <w:szCs w:val="24"/>
              <w:lang w:val="zh-CN"/>
            </w:rPr>
            <w:t>项目清单</w:t>
          </w:r>
          <w:r>
            <w:tab/>
          </w:r>
          <w:r>
            <w:fldChar w:fldCharType="begin"/>
          </w:r>
          <w:r>
            <w:instrText xml:space="preserve"> PAGEREF _Toc30008 \h </w:instrText>
          </w:r>
          <w:r>
            <w:fldChar w:fldCharType="separate"/>
          </w:r>
          <w:r>
            <w:t>31</w:t>
          </w:r>
          <w:r>
            <w:fldChar w:fldCharType="end"/>
          </w:r>
          <w:r>
            <w:rPr>
              <w:rFonts w:ascii="宋体" w:hAnsi="宋体" w:eastAsia="宋体" w:cs="宋体"/>
              <w:spacing w:val="7"/>
              <w:szCs w:val="35"/>
            </w:rPr>
            <w:fldChar w:fldCharType="end"/>
          </w:r>
        </w:p>
        <w:p w14:paraId="2BAE2C75">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_Toc32512 </w:instrText>
          </w:r>
          <w:r>
            <w:rPr>
              <w:rFonts w:ascii="宋体" w:hAnsi="宋体" w:eastAsia="宋体" w:cs="宋体"/>
              <w:spacing w:val="7"/>
              <w:szCs w:val="35"/>
            </w:rPr>
            <w:fldChar w:fldCharType="separate"/>
          </w:r>
          <w:r>
            <w:rPr>
              <w:rFonts w:hint="eastAsia" w:ascii="宋体" w:hAnsi="宋体" w:eastAsia="宋体" w:cs="宋体"/>
              <w:szCs w:val="24"/>
              <w:lang w:val="zh-CN"/>
            </w:rPr>
            <w:t>三、</w:t>
          </w:r>
          <w:r>
            <w:rPr>
              <w:rFonts w:hint="eastAsia" w:ascii="宋体" w:hAnsi="宋体" w:cs="宋体"/>
              <w:szCs w:val="24"/>
              <w:lang w:val="en-US" w:eastAsia="zh-CN"/>
            </w:rPr>
            <w:t>代建</w:t>
          </w:r>
          <w:r>
            <w:rPr>
              <w:rFonts w:hint="eastAsia" w:ascii="宋体" w:hAnsi="宋体" w:eastAsia="宋体" w:cs="宋体"/>
              <w:szCs w:val="24"/>
              <w:lang w:val="zh-CN"/>
            </w:rPr>
            <w:t>工作主要内容</w:t>
          </w:r>
          <w:r>
            <w:tab/>
          </w:r>
          <w:r>
            <w:fldChar w:fldCharType="begin"/>
          </w:r>
          <w:r>
            <w:instrText xml:space="preserve"> PAGEREF _Toc32512 \h </w:instrText>
          </w:r>
          <w:r>
            <w:fldChar w:fldCharType="separate"/>
          </w:r>
          <w:r>
            <w:t>31</w:t>
          </w:r>
          <w:r>
            <w:fldChar w:fldCharType="end"/>
          </w:r>
          <w:r>
            <w:rPr>
              <w:rFonts w:ascii="宋体" w:hAnsi="宋体" w:eastAsia="宋体" w:cs="宋体"/>
              <w:spacing w:val="7"/>
              <w:szCs w:val="35"/>
            </w:rPr>
            <w:fldChar w:fldCharType="end"/>
          </w:r>
        </w:p>
        <w:p w14:paraId="0414127B">
          <w:pPr>
            <w:pStyle w:val="12"/>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_Toc2974 </w:instrText>
          </w:r>
          <w:r>
            <w:rPr>
              <w:rFonts w:ascii="宋体" w:hAnsi="宋体" w:eastAsia="宋体" w:cs="宋体"/>
              <w:spacing w:val="7"/>
              <w:szCs w:val="35"/>
            </w:rPr>
            <w:fldChar w:fldCharType="separate"/>
          </w:r>
          <w:r>
            <w:rPr>
              <w:rFonts w:hint="eastAsia"/>
            </w:rPr>
            <w:t>第五部分磋商及评审</w:t>
          </w:r>
          <w:r>
            <w:tab/>
          </w:r>
          <w:r>
            <w:fldChar w:fldCharType="begin"/>
          </w:r>
          <w:r>
            <w:instrText xml:space="preserve"> PAGEREF _Toc2974 \h </w:instrText>
          </w:r>
          <w:r>
            <w:fldChar w:fldCharType="separate"/>
          </w:r>
          <w:r>
            <w:t>32</w:t>
          </w:r>
          <w:r>
            <w:fldChar w:fldCharType="end"/>
          </w:r>
          <w:r>
            <w:rPr>
              <w:rFonts w:ascii="宋体" w:hAnsi="宋体" w:eastAsia="宋体" w:cs="宋体"/>
              <w:spacing w:val="7"/>
              <w:szCs w:val="35"/>
            </w:rPr>
            <w:fldChar w:fldCharType="end"/>
          </w:r>
        </w:p>
        <w:p w14:paraId="0AEEE546">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_Toc31701 </w:instrText>
          </w:r>
          <w:r>
            <w:rPr>
              <w:rFonts w:ascii="宋体" w:hAnsi="宋体" w:eastAsia="宋体" w:cs="宋体"/>
              <w:spacing w:val="7"/>
              <w:szCs w:val="35"/>
            </w:rPr>
            <w:fldChar w:fldCharType="separate"/>
          </w:r>
          <w:r>
            <w:rPr>
              <w:rFonts w:hint="eastAsia"/>
            </w:rPr>
            <w:t>一、磋商小组职责</w:t>
          </w:r>
          <w:r>
            <w:tab/>
          </w:r>
          <w:r>
            <w:fldChar w:fldCharType="begin"/>
          </w:r>
          <w:r>
            <w:instrText xml:space="preserve"> PAGEREF _Toc31701 \h </w:instrText>
          </w:r>
          <w:r>
            <w:fldChar w:fldCharType="separate"/>
          </w:r>
          <w:r>
            <w:t>32</w:t>
          </w:r>
          <w:r>
            <w:fldChar w:fldCharType="end"/>
          </w:r>
          <w:r>
            <w:rPr>
              <w:rFonts w:ascii="宋体" w:hAnsi="宋体" w:eastAsia="宋体" w:cs="宋体"/>
              <w:spacing w:val="7"/>
              <w:szCs w:val="35"/>
            </w:rPr>
            <w:fldChar w:fldCharType="end"/>
          </w:r>
        </w:p>
        <w:p w14:paraId="414EE2EF">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_Toc27944 </w:instrText>
          </w:r>
          <w:r>
            <w:rPr>
              <w:rFonts w:ascii="宋体" w:hAnsi="宋体" w:eastAsia="宋体" w:cs="宋体"/>
              <w:spacing w:val="7"/>
              <w:szCs w:val="35"/>
            </w:rPr>
            <w:fldChar w:fldCharType="separate"/>
          </w:r>
          <w:r>
            <w:rPr>
              <w:rFonts w:hint="eastAsia"/>
            </w:rPr>
            <w:t>二、磋商及评审程序</w:t>
          </w:r>
          <w:r>
            <w:tab/>
          </w:r>
          <w:r>
            <w:fldChar w:fldCharType="begin"/>
          </w:r>
          <w:r>
            <w:instrText xml:space="preserve"> PAGEREF _Toc27944 \h </w:instrText>
          </w:r>
          <w:r>
            <w:fldChar w:fldCharType="separate"/>
          </w:r>
          <w:r>
            <w:t>32</w:t>
          </w:r>
          <w:r>
            <w:fldChar w:fldCharType="end"/>
          </w:r>
          <w:r>
            <w:rPr>
              <w:rFonts w:ascii="宋体" w:hAnsi="宋体" w:eastAsia="宋体" w:cs="宋体"/>
              <w:spacing w:val="7"/>
              <w:szCs w:val="35"/>
            </w:rPr>
            <w:fldChar w:fldCharType="end"/>
          </w:r>
        </w:p>
        <w:p w14:paraId="63DE09E7">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_Toc1725 </w:instrText>
          </w:r>
          <w:r>
            <w:rPr>
              <w:rFonts w:ascii="宋体" w:hAnsi="宋体" w:eastAsia="宋体" w:cs="宋体"/>
              <w:spacing w:val="7"/>
              <w:szCs w:val="35"/>
            </w:rPr>
            <w:fldChar w:fldCharType="separate"/>
          </w:r>
          <w:r>
            <w:rPr>
              <w:rFonts w:hint="eastAsia"/>
              <w:highlight w:val="none"/>
            </w:rPr>
            <w:t>三、供应商资格审查</w:t>
          </w:r>
          <w:r>
            <w:tab/>
          </w:r>
          <w:r>
            <w:fldChar w:fldCharType="begin"/>
          </w:r>
          <w:r>
            <w:instrText xml:space="preserve"> PAGEREF _Toc1725 \h </w:instrText>
          </w:r>
          <w:r>
            <w:fldChar w:fldCharType="separate"/>
          </w:r>
          <w:r>
            <w:t>33</w:t>
          </w:r>
          <w:r>
            <w:fldChar w:fldCharType="end"/>
          </w:r>
          <w:r>
            <w:rPr>
              <w:rFonts w:ascii="宋体" w:hAnsi="宋体" w:eastAsia="宋体" w:cs="宋体"/>
              <w:spacing w:val="7"/>
              <w:szCs w:val="35"/>
            </w:rPr>
            <w:fldChar w:fldCharType="end"/>
          </w:r>
        </w:p>
        <w:p w14:paraId="3AB13EB9">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_Toc5892 </w:instrText>
          </w:r>
          <w:r>
            <w:rPr>
              <w:rFonts w:ascii="宋体" w:hAnsi="宋体" w:eastAsia="宋体" w:cs="宋体"/>
              <w:spacing w:val="7"/>
              <w:szCs w:val="35"/>
            </w:rPr>
            <w:fldChar w:fldCharType="separate"/>
          </w:r>
          <w:r>
            <w:rPr>
              <w:rFonts w:hint="eastAsia"/>
            </w:rPr>
            <w:t>四、磋商响应文件的有效性、完整性和响应程度审查</w:t>
          </w:r>
          <w:r>
            <w:tab/>
          </w:r>
          <w:r>
            <w:fldChar w:fldCharType="begin"/>
          </w:r>
          <w:r>
            <w:instrText xml:space="preserve"> PAGEREF _Toc5892 \h </w:instrText>
          </w:r>
          <w:r>
            <w:fldChar w:fldCharType="separate"/>
          </w:r>
          <w:r>
            <w:t>34</w:t>
          </w:r>
          <w:r>
            <w:fldChar w:fldCharType="end"/>
          </w:r>
          <w:r>
            <w:rPr>
              <w:rFonts w:ascii="宋体" w:hAnsi="宋体" w:eastAsia="宋体" w:cs="宋体"/>
              <w:spacing w:val="7"/>
              <w:szCs w:val="35"/>
            </w:rPr>
            <w:fldChar w:fldCharType="end"/>
          </w:r>
        </w:p>
        <w:p w14:paraId="38B88561">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_Toc7689 </w:instrText>
          </w:r>
          <w:r>
            <w:rPr>
              <w:rFonts w:ascii="宋体" w:hAnsi="宋体" w:eastAsia="宋体" w:cs="宋体"/>
              <w:spacing w:val="7"/>
              <w:szCs w:val="35"/>
            </w:rPr>
            <w:fldChar w:fldCharType="separate"/>
          </w:r>
          <w:r>
            <w:rPr>
              <w:rFonts w:hint="eastAsia"/>
            </w:rPr>
            <w:t>五、磋商记录</w:t>
          </w:r>
          <w:r>
            <w:tab/>
          </w:r>
          <w:r>
            <w:fldChar w:fldCharType="begin"/>
          </w:r>
          <w:r>
            <w:instrText xml:space="preserve"> PAGEREF _Toc7689 \h </w:instrText>
          </w:r>
          <w:r>
            <w:fldChar w:fldCharType="separate"/>
          </w:r>
          <w:r>
            <w:t>34</w:t>
          </w:r>
          <w:r>
            <w:fldChar w:fldCharType="end"/>
          </w:r>
          <w:r>
            <w:rPr>
              <w:rFonts w:ascii="宋体" w:hAnsi="宋体" w:eastAsia="宋体" w:cs="宋体"/>
              <w:spacing w:val="7"/>
              <w:szCs w:val="35"/>
            </w:rPr>
            <w:fldChar w:fldCharType="end"/>
          </w:r>
        </w:p>
        <w:p w14:paraId="04102B87">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_Toc13465 </w:instrText>
          </w:r>
          <w:r>
            <w:rPr>
              <w:rFonts w:ascii="宋体" w:hAnsi="宋体" w:eastAsia="宋体" w:cs="宋体"/>
              <w:spacing w:val="7"/>
              <w:szCs w:val="35"/>
            </w:rPr>
            <w:fldChar w:fldCharType="separate"/>
          </w:r>
          <w:r>
            <w:rPr>
              <w:rFonts w:hint="eastAsia"/>
            </w:rPr>
            <w:t>六、综合评分</w:t>
          </w:r>
          <w:r>
            <w:tab/>
          </w:r>
          <w:r>
            <w:fldChar w:fldCharType="begin"/>
          </w:r>
          <w:r>
            <w:instrText xml:space="preserve"> PAGEREF _Toc13465 \h </w:instrText>
          </w:r>
          <w:r>
            <w:fldChar w:fldCharType="separate"/>
          </w:r>
          <w:r>
            <w:t>34</w:t>
          </w:r>
          <w:r>
            <w:fldChar w:fldCharType="end"/>
          </w:r>
          <w:r>
            <w:rPr>
              <w:rFonts w:ascii="宋体" w:hAnsi="宋体" w:eastAsia="宋体" w:cs="宋体"/>
              <w:spacing w:val="7"/>
              <w:szCs w:val="35"/>
            </w:rPr>
            <w:fldChar w:fldCharType="end"/>
          </w:r>
        </w:p>
        <w:p w14:paraId="2C2A6550">
          <w:pPr>
            <w:pStyle w:val="12"/>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_Toc13439 </w:instrText>
          </w:r>
          <w:r>
            <w:rPr>
              <w:rFonts w:ascii="宋体" w:hAnsi="宋体" w:eastAsia="宋体" w:cs="宋体"/>
              <w:spacing w:val="7"/>
              <w:szCs w:val="35"/>
            </w:rPr>
            <w:fldChar w:fldCharType="separate"/>
          </w:r>
          <w:r>
            <w:rPr>
              <w:rFonts w:hint="eastAsia"/>
            </w:rPr>
            <w:t>第六部分磋商响应文件(格式)</w:t>
          </w:r>
          <w:r>
            <w:tab/>
          </w:r>
          <w:r>
            <w:fldChar w:fldCharType="begin"/>
          </w:r>
          <w:r>
            <w:instrText xml:space="preserve"> PAGEREF _Toc13439 \h </w:instrText>
          </w:r>
          <w:r>
            <w:fldChar w:fldCharType="separate"/>
          </w:r>
          <w:r>
            <w:t>38</w:t>
          </w:r>
          <w:r>
            <w:fldChar w:fldCharType="end"/>
          </w:r>
          <w:r>
            <w:rPr>
              <w:rFonts w:ascii="宋体" w:hAnsi="宋体" w:eastAsia="宋体" w:cs="宋体"/>
              <w:spacing w:val="7"/>
              <w:szCs w:val="35"/>
            </w:rPr>
            <w:fldChar w:fldCharType="end"/>
          </w:r>
        </w:p>
        <w:p w14:paraId="21BDDF18">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_Toc22210 </w:instrText>
          </w:r>
          <w:r>
            <w:rPr>
              <w:rFonts w:ascii="宋体" w:hAnsi="宋体" w:eastAsia="宋体" w:cs="宋体"/>
              <w:spacing w:val="7"/>
              <w:szCs w:val="35"/>
            </w:rPr>
            <w:fldChar w:fldCharType="separate"/>
          </w:r>
          <w:r>
            <w:rPr>
              <w:bCs/>
              <w:szCs w:val="44"/>
            </w:rPr>
            <w:t>磋商响应文件</w:t>
          </w:r>
          <w:r>
            <w:tab/>
          </w:r>
          <w:r>
            <w:fldChar w:fldCharType="begin"/>
          </w:r>
          <w:r>
            <w:instrText xml:space="preserve"> PAGEREF _Toc22210 \h </w:instrText>
          </w:r>
          <w:r>
            <w:fldChar w:fldCharType="separate"/>
          </w:r>
          <w:r>
            <w:t>38</w:t>
          </w:r>
          <w:r>
            <w:fldChar w:fldCharType="end"/>
          </w:r>
          <w:r>
            <w:rPr>
              <w:rFonts w:ascii="宋体" w:hAnsi="宋体" w:eastAsia="宋体" w:cs="宋体"/>
              <w:spacing w:val="7"/>
              <w:szCs w:val="35"/>
            </w:rPr>
            <w:fldChar w:fldCharType="end"/>
          </w:r>
        </w:p>
        <w:p w14:paraId="5D98315B">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_Toc1031 </w:instrText>
          </w:r>
          <w:r>
            <w:rPr>
              <w:rFonts w:ascii="宋体" w:hAnsi="宋体" w:eastAsia="宋体" w:cs="宋体"/>
              <w:spacing w:val="7"/>
              <w:szCs w:val="35"/>
            </w:rPr>
            <w:fldChar w:fldCharType="separate"/>
          </w:r>
          <w:r>
            <w:rPr>
              <w:rFonts w:hint="eastAsia"/>
            </w:rPr>
            <w:t>一、资格部分</w:t>
          </w:r>
          <w:r>
            <w:tab/>
          </w:r>
          <w:r>
            <w:fldChar w:fldCharType="begin"/>
          </w:r>
          <w:r>
            <w:instrText xml:space="preserve"> PAGEREF _Toc1031 \h </w:instrText>
          </w:r>
          <w:r>
            <w:fldChar w:fldCharType="separate"/>
          </w:r>
          <w:r>
            <w:t>39</w:t>
          </w:r>
          <w:r>
            <w:fldChar w:fldCharType="end"/>
          </w:r>
          <w:r>
            <w:rPr>
              <w:rFonts w:ascii="宋体" w:hAnsi="宋体" w:eastAsia="宋体" w:cs="宋体"/>
              <w:spacing w:val="7"/>
              <w:szCs w:val="35"/>
            </w:rPr>
            <w:fldChar w:fldCharType="end"/>
          </w:r>
        </w:p>
        <w:p w14:paraId="59CAFB79">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_Toc4667 </w:instrText>
          </w:r>
          <w:r>
            <w:rPr>
              <w:rFonts w:ascii="宋体" w:hAnsi="宋体" w:eastAsia="宋体" w:cs="宋体"/>
              <w:spacing w:val="7"/>
              <w:szCs w:val="35"/>
            </w:rPr>
            <w:fldChar w:fldCharType="separate"/>
          </w:r>
          <w:r>
            <w:rPr>
              <w:rFonts w:hint="eastAsia" w:ascii="Times New Roman" w:hAnsi="Times New Roman" w:eastAsia="宋体" w:cs="Times New Roman"/>
              <w:szCs w:val="28"/>
            </w:rPr>
            <w:t>（一）</w:t>
          </w:r>
          <w:r>
            <w:rPr>
              <w:rFonts w:ascii="Times New Roman" w:hAnsi="Times New Roman" w:eastAsia="宋体" w:cs="Times New Roman"/>
              <w:szCs w:val="28"/>
            </w:rPr>
            <w:t>磋商承诺函</w:t>
          </w:r>
          <w:r>
            <w:tab/>
          </w:r>
          <w:r>
            <w:fldChar w:fldCharType="begin"/>
          </w:r>
          <w:r>
            <w:instrText xml:space="preserve"> PAGEREF _Toc4667 \h </w:instrText>
          </w:r>
          <w:r>
            <w:fldChar w:fldCharType="separate"/>
          </w:r>
          <w:r>
            <w:t>40</w:t>
          </w:r>
          <w:r>
            <w:fldChar w:fldCharType="end"/>
          </w:r>
          <w:r>
            <w:rPr>
              <w:rFonts w:ascii="宋体" w:hAnsi="宋体" w:eastAsia="宋体" w:cs="宋体"/>
              <w:spacing w:val="7"/>
              <w:szCs w:val="35"/>
            </w:rPr>
            <w:fldChar w:fldCharType="end"/>
          </w:r>
        </w:p>
        <w:p w14:paraId="11825E11">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_Toc28419 </w:instrText>
          </w:r>
          <w:r>
            <w:rPr>
              <w:rFonts w:ascii="宋体" w:hAnsi="宋体" w:eastAsia="宋体" w:cs="宋体"/>
              <w:spacing w:val="7"/>
              <w:szCs w:val="35"/>
            </w:rPr>
            <w:fldChar w:fldCharType="separate"/>
          </w:r>
          <w:r>
            <w:rPr>
              <w:rFonts w:hint="eastAsia" w:ascii="Times New Roman" w:hAnsi="Times New Roman" w:eastAsia="宋体" w:cs="Times New Roman"/>
              <w:szCs w:val="28"/>
            </w:rPr>
            <w:t>（二）</w:t>
          </w:r>
          <w:r>
            <w:rPr>
              <w:rFonts w:ascii="Times New Roman" w:hAnsi="Times New Roman" w:eastAsia="宋体" w:cs="Times New Roman"/>
              <w:szCs w:val="28"/>
            </w:rPr>
            <w:t>独立承担民事责任的能力</w:t>
          </w:r>
          <w:r>
            <w:tab/>
          </w:r>
          <w:r>
            <w:fldChar w:fldCharType="begin"/>
          </w:r>
          <w:r>
            <w:instrText xml:space="preserve"> PAGEREF _Toc28419 \h </w:instrText>
          </w:r>
          <w:r>
            <w:fldChar w:fldCharType="separate"/>
          </w:r>
          <w:r>
            <w:t>41</w:t>
          </w:r>
          <w:r>
            <w:fldChar w:fldCharType="end"/>
          </w:r>
          <w:r>
            <w:rPr>
              <w:rFonts w:ascii="宋体" w:hAnsi="宋体" w:eastAsia="宋体" w:cs="宋体"/>
              <w:spacing w:val="7"/>
              <w:szCs w:val="35"/>
            </w:rPr>
            <w:fldChar w:fldCharType="end"/>
          </w:r>
        </w:p>
        <w:p w14:paraId="681A4362">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_Toc9772 </w:instrText>
          </w:r>
          <w:r>
            <w:rPr>
              <w:rFonts w:ascii="宋体" w:hAnsi="宋体" w:eastAsia="宋体" w:cs="宋体"/>
              <w:spacing w:val="7"/>
              <w:szCs w:val="35"/>
            </w:rPr>
            <w:fldChar w:fldCharType="separate"/>
          </w:r>
          <w:r>
            <w:rPr>
              <w:rFonts w:hint="eastAsia" w:ascii="Times New Roman" w:hAnsi="Times New Roman" w:eastAsia="宋体" w:cs="Times New Roman"/>
              <w:szCs w:val="28"/>
            </w:rPr>
            <w:t>（三）</w:t>
          </w:r>
          <w:r>
            <w:rPr>
              <w:rFonts w:ascii="Times New Roman" w:hAnsi="Times New Roman" w:eastAsia="宋体" w:cs="Times New Roman"/>
              <w:szCs w:val="28"/>
            </w:rPr>
            <w:t>良好的商业信誉和健全的财务会计制度</w:t>
          </w:r>
          <w:r>
            <w:tab/>
          </w:r>
          <w:r>
            <w:fldChar w:fldCharType="begin"/>
          </w:r>
          <w:r>
            <w:instrText xml:space="preserve"> PAGEREF _Toc9772 \h </w:instrText>
          </w:r>
          <w:r>
            <w:fldChar w:fldCharType="separate"/>
          </w:r>
          <w:r>
            <w:t>42</w:t>
          </w:r>
          <w:r>
            <w:fldChar w:fldCharType="end"/>
          </w:r>
          <w:r>
            <w:rPr>
              <w:rFonts w:ascii="宋体" w:hAnsi="宋体" w:eastAsia="宋体" w:cs="宋体"/>
              <w:spacing w:val="7"/>
              <w:szCs w:val="35"/>
            </w:rPr>
            <w:fldChar w:fldCharType="end"/>
          </w:r>
        </w:p>
        <w:p w14:paraId="2802C1AF">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_Toc11553 </w:instrText>
          </w:r>
          <w:r>
            <w:rPr>
              <w:rFonts w:ascii="宋体" w:hAnsi="宋体" w:eastAsia="宋体" w:cs="宋体"/>
              <w:spacing w:val="7"/>
              <w:szCs w:val="35"/>
            </w:rPr>
            <w:fldChar w:fldCharType="separate"/>
          </w:r>
          <w:r>
            <w:rPr>
              <w:rFonts w:hint="eastAsia" w:ascii="Times New Roman" w:hAnsi="Times New Roman" w:eastAsia="宋体" w:cs="Times New Roman"/>
              <w:szCs w:val="28"/>
            </w:rPr>
            <w:t>（四）</w:t>
          </w:r>
          <w:r>
            <w:rPr>
              <w:rFonts w:ascii="Times New Roman" w:hAnsi="Times New Roman" w:eastAsia="宋体" w:cs="Times New Roman"/>
              <w:szCs w:val="28"/>
            </w:rPr>
            <w:t>履行合同所必需的设备和专业技术能力</w:t>
          </w:r>
          <w:r>
            <w:tab/>
          </w:r>
          <w:r>
            <w:fldChar w:fldCharType="begin"/>
          </w:r>
          <w:r>
            <w:instrText xml:space="preserve"> PAGEREF _Toc11553 \h </w:instrText>
          </w:r>
          <w:r>
            <w:fldChar w:fldCharType="separate"/>
          </w:r>
          <w:r>
            <w:t>43</w:t>
          </w:r>
          <w:r>
            <w:fldChar w:fldCharType="end"/>
          </w:r>
          <w:r>
            <w:rPr>
              <w:rFonts w:ascii="宋体" w:hAnsi="宋体" w:eastAsia="宋体" w:cs="宋体"/>
              <w:spacing w:val="7"/>
              <w:szCs w:val="35"/>
            </w:rPr>
            <w:fldChar w:fldCharType="end"/>
          </w:r>
        </w:p>
        <w:p w14:paraId="757BA8FD">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_Toc5157 </w:instrText>
          </w:r>
          <w:r>
            <w:rPr>
              <w:rFonts w:ascii="宋体" w:hAnsi="宋体" w:eastAsia="宋体" w:cs="宋体"/>
              <w:spacing w:val="7"/>
              <w:szCs w:val="35"/>
            </w:rPr>
            <w:fldChar w:fldCharType="separate"/>
          </w:r>
          <w:r>
            <w:rPr>
              <w:rFonts w:hint="eastAsia" w:ascii="Times New Roman" w:hAnsi="Times New Roman" w:eastAsia="宋体" w:cs="Times New Roman"/>
              <w:szCs w:val="28"/>
            </w:rPr>
            <w:t>（五）</w:t>
          </w:r>
          <w:r>
            <w:rPr>
              <w:rFonts w:ascii="Times New Roman" w:hAnsi="Times New Roman" w:eastAsia="宋体" w:cs="Times New Roman"/>
              <w:szCs w:val="28"/>
            </w:rPr>
            <w:t>依法缴纳税收和社会保障资金的良好记录</w:t>
          </w:r>
          <w:r>
            <w:tab/>
          </w:r>
          <w:r>
            <w:fldChar w:fldCharType="begin"/>
          </w:r>
          <w:r>
            <w:instrText xml:space="preserve"> PAGEREF _Toc5157 \h </w:instrText>
          </w:r>
          <w:r>
            <w:fldChar w:fldCharType="separate"/>
          </w:r>
          <w:r>
            <w:t>44</w:t>
          </w:r>
          <w:r>
            <w:fldChar w:fldCharType="end"/>
          </w:r>
          <w:r>
            <w:rPr>
              <w:rFonts w:ascii="宋体" w:hAnsi="宋体" w:eastAsia="宋体" w:cs="宋体"/>
              <w:spacing w:val="7"/>
              <w:szCs w:val="35"/>
            </w:rPr>
            <w:fldChar w:fldCharType="end"/>
          </w:r>
        </w:p>
        <w:p w14:paraId="73855C25">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_Toc10205 </w:instrText>
          </w:r>
          <w:r>
            <w:rPr>
              <w:rFonts w:ascii="宋体" w:hAnsi="宋体" w:eastAsia="宋体" w:cs="宋体"/>
              <w:spacing w:val="7"/>
              <w:szCs w:val="35"/>
            </w:rPr>
            <w:fldChar w:fldCharType="separate"/>
          </w:r>
          <w:r>
            <w:rPr>
              <w:rFonts w:hint="eastAsia" w:ascii="Times New Roman" w:hAnsi="Times New Roman" w:eastAsia="宋体" w:cs="Times New Roman"/>
              <w:szCs w:val="28"/>
            </w:rPr>
            <w:t>（六）法律、行政法规规定的其他条件</w:t>
          </w:r>
          <w:r>
            <w:tab/>
          </w:r>
          <w:r>
            <w:fldChar w:fldCharType="begin"/>
          </w:r>
          <w:r>
            <w:instrText xml:space="preserve"> PAGEREF _Toc10205 \h </w:instrText>
          </w:r>
          <w:r>
            <w:fldChar w:fldCharType="separate"/>
          </w:r>
          <w:r>
            <w:t>45</w:t>
          </w:r>
          <w:r>
            <w:fldChar w:fldCharType="end"/>
          </w:r>
          <w:r>
            <w:rPr>
              <w:rFonts w:ascii="宋体" w:hAnsi="宋体" w:eastAsia="宋体" w:cs="宋体"/>
              <w:spacing w:val="7"/>
              <w:szCs w:val="35"/>
            </w:rPr>
            <w:fldChar w:fldCharType="end"/>
          </w:r>
        </w:p>
        <w:p w14:paraId="123519D1">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_Toc7452 </w:instrText>
          </w:r>
          <w:r>
            <w:rPr>
              <w:rFonts w:ascii="宋体" w:hAnsi="宋体" w:eastAsia="宋体" w:cs="宋体"/>
              <w:spacing w:val="7"/>
              <w:szCs w:val="35"/>
            </w:rPr>
            <w:fldChar w:fldCharType="separate"/>
          </w:r>
          <w:r>
            <w:rPr>
              <w:rFonts w:hint="eastAsia" w:ascii="Times New Roman" w:hAnsi="Times New Roman" w:eastAsia="宋体" w:cs="Times New Roman"/>
              <w:szCs w:val="28"/>
            </w:rPr>
            <w:t>（七）落实政府采购政策需满足的资格要求</w:t>
          </w:r>
          <w:r>
            <w:tab/>
          </w:r>
          <w:r>
            <w:fldChar w:fldCharType="begin"/>
          </w:r>
          <w:r>
            <w:instrText xml:space="preserve"> PAGEREF _Toc7452 \h </w:instrText>
          </w:r>
          <w:r>
            <w:fldChar w:fldCharType="separate"/>
          </w:r>
          <w:r>
            <w:t>46</w:t>
          </w:r>
          <w:r>
            <w:fldChar w:fldCharType="end"/>
          </w:r>
          <w:r>
            <w:rPr>
              <w:rFonts w:ascii="宋体" w:hAnsi="宋体" w:eastAsia="宋体" w:cs="宋体"/>
              <w:spacing w:val="7"/>
              <w:szCs w:val="35"/>
            </w:rPr>
            <w:fldChar w:fldCharType="end"/>
          </w:r>
        </w:p>
        <w:p w14:paraId="14B529C8">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_Toc19481 </w:instrText>
          </w:r>
          <w:r>
            <w:rPr>
              <w:rFonts w:ascii="宋体" w:hAnsi="宋体" w:eastAsia="宋体" w:cs="宋体"/>
              <w:spacing w:val="7"/>
              <w:szCs w:val="35"/>
            </w:rPr>
            <w:fldChar w:fldCharType="separate"/>
          </w:r>
          <w:r>
            <w:rPr>
              <w:rFonts w:hint="eastAsia" w:ascii="Times New Roman" w:hAnsi="Times New Roman" w:eastAsia="宋体" w:cs="Times New Roman"/>
              <w:szCs w:val="28"/>
            </w:rPr>
            <w:t>（八）</w:t>
          </w:r>
          <w:r>
            <w:rPr>
              <w:rFonts w:ascii="Times New Roman" w:hAnsi="Times New Roman" w:eastAsia="宋体" w:cs="Times New Roman"/>
              <w:szCs w:val="28"/>
            </w:rPr>
            <w:t>本项目的特定资格要求</w:t>
          </w:r>
          <w:r>
            <w:tab/>
          </w:r>
          <w:r>
            <w:fldChar w:fldCharType="begin"/>
          </w:r>
          <w:r>
            <w:instrText xml:space="preserve"> PAGEREF _Toc19481 \h </w:instrText>
          </w:r>
          <w:r>
            <w:fldChar w:fldCharType="separate"/>
          </w:r>
          <w:r>
            <w:t>47</w:t>
          </w:r>
          <w:r>
            <w:fldChar w:fldCharType="end"/>
          </w:r>
          <w:r>
            <w:rPr>
              <w:rFonts w:ascii="宋体" w:hAnsi="宋体" w:eastAsia="宋体" w:cs="宋体"/>
              <w:spacing w:val="7"/>
              <w:szCs w:val="35"/>
            </w:rPr>
            <w:fldChar w:fldCharType="end"/>
          </w:r>
        </w:p>
        <w:p w14:paraId="0D749FE9">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_Toc29474 </w:instrText>
          </w:r>
          <w:r>
            <w:rPr>
              <w:rFonts w:ascii="宋体" w:hAnsi="宋体" w:eastAsia="宋体" w:cs="宋体"/>
              <w:spacing w:val="7"/>
              <w:szCs w:val="35"/>
            </w:rPr>
            <w:fldChar w:fldCharType="separate"/>
          </w:r>
          <w:r>
            <w:rPr>
              <w:rFonts w:hint="eastAsia" w:ascii="Times New Roman" w:hAnsi="Times New Roman" w:eastAsia="宋体" w:cs="Times New Roman"/>
              <w:szCs w:val="28"/>
            </w:rPr>
            <w:t>（九）</w:t>
          </w:r>
          <w:r>
            <w:rPr>
              <w:rFonts w:ascii="Times New Roman" w:hAnsi="Times New Roman" w:eastAsia="宋体" w:cs="Times New Roman"/>
              <w:szCs w:val="28"/>
            </w:rPr>
            <w:t>法定代表人(负责人)身份证明书</w:t>
          </w:r>
          <w:r>
            <w:tab/>
          </w:r>
          <w:r>
            <w:fldChar w:fldCharType="begin"/>
          </w:r>
          <w:r>
            <w:instrText xml:space="preserve"> PAGEREF _Toc29474 \h </w:instrText>
          </w:r>
          <w:r>
            <w:fldChar w:fldCharType="separate"/>
          </w:r>
          <w:r>
            <w:t>48</w:t>
          </w:r>
          <w:r>
            <w:fldChar w:fldCharType="end"/>
          </w:r>
          <w:r>
            <w:rPr>
              <w:rFonts w:ascii="宋体" w:hAnsi="宋体" w:eastAsia="宋体" w:cs="宋体"/>
              <w:spacing w:val="7"/>
              <w:szCs w:val="35"/>
            </w:rPr>
            <w:fldChar w:fldCharType="end"/>
          </w:r>
        </w:p>
        <w:p w14:paraId="0AF95FD1">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_Toc373 </w:instrText>
          </w:r>
          <w:r>
            <w:rPr>
              <w:rFonts w:ascii="宋体" w:hAnsi="宋体" w:eastAsia="宋体" w:cs="宋体"/>
              <w:spacing w:val="7"/>
              <w:szCs w:val="35"/>
            </w:rPr>
            <w:fldChar w:fldCharType="separate"/>
          </w:r>
          <w:r>
            <w:rPr>
              <w:rFonts w:hint="eastAsia" w:ascii="Times New Roman" w:hAnsi="Times New Roman" w:eastAsia="宋体" w:cs="Times New Roman"/>
              <w:szCs w:val="28"/>
            </w:rPr>
            <w:t>（十）</w:t>
          </w:r>
          <w:r>
            <w:rPr>
              <w:rFonts w:ascii="Times New Roman" w:hAnsi="Times New Roman" w:eastAsia="宋体" w:cs="Times New Roman"/>
              <w:szCs w:val="28"/>
            </w:rPr>
            <w:t>法定代表人(负责人)授权委托书</w:t>
          </w:r>
          <w:r>
            <w:tab/>
          </w:r>
          <w:r>
            <w:fldChar w:fldCharType="begin"/>
          </w:r>
          <w:r>
            <w:instrText xml:space="preserve"> PAGEREF _Toc373 \h </w:instrText>
          </w:r>
          <w:r>
            <w:fldChar w:fldCharType="separate"/>
          </w:r>
          <w:r>
            <w:t>49</w:t>
          </w:r>
          <w:r>
            <w:fldChar w:fldCharType="end"/>
          </w:r>
          <w:r>
            <w:rPr>
              <w:rFonts w:ascii="宋体" w:hAnsi="宋体" w:eastAsia="宋体" w:cs="宋体"/>
              <w:spacing w:val="7"/>
              <w:szCs w:val="35"/>
            </w:rPr>
            <w:fldChar w:fldCharType="end"/>
          </w:r>
        </w:p>
        <w:p w14:paraId="552A0552">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_Toc11751 </w:instrText>
          </w:r>
          <w:r>
            <w:rPr>
              <w:rFonts w:ascii="宋体" w:hAnsi="宋体" w:eastAsia="宋体" w:cs="宋体"/>
              <w:spacing w:val="7"/>
              <w:szCs w:val="35"/>
            </w:rPr>
            <w:fldChar w:fldCharType="separate"/>
          </w:r>
          <w:r>
            <w:rPr>
              <w:rFonts w:hint="eastAsia" w:ascii="Times New Roman" w:hAnsi="Times New Roman" w:eastAsia="宋体" w:cs="Times New Roman"/>
              <w:szCs w:val="28"/>
            </w:rPr>
            <w:t>（十一）资格承诺函</w:t>
          </w:r>
          <w:r>
            <w:tab/>
          </w:r>
          <w:r>
            <w:fldChar w:fldCharType="begin"/>
          </w:r>
          <w:r>
            <w:instrText xml:space="preserve"> PAGEREF _Toc11751 \h </w:instrText>
          </w:r>
          <w:r>
            <w:fldChar w:fldCharType="separate"/>
          </w:r>
          <w:r>
            <w:t>50</w:t>
          </w:r>
          <w:r>
            <w:fldChar w:fldCharType="end"/>
          </w:r>
          <w:r>
            <w:rPr>
              <w:rFonts w:ascii="宋体" w:hAnsi="宋体" w:eastAsia="宋体" w:cs="宋体"/>
              <w:spacing w:val="7"/>
              <w:szCs w:val="35"/>
            </w:rPr>
            <w:fldChar w:fldCharType="end"/>
          </w:r>
        </w:p>
        <w:p w14:paraId="64A56739">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_Toc15682 </w:instrText>
          </w:r>
          <w:r>
            <w:rPr>
              <w:rFonts w:ascii="宋体" w:hAnsi="宋体" w:eastAsia="宋体" w:cs="宋体"/>
              <w:spacing w:val="7"/>
              <w:szCs w:val="35"/>
            </w:rPr>
            <w:fldChar w:fldCharType="separate"/>
          </w:r>
          <w:r>
            <w:rPr>
              <w:rFonts w:hint="eastAsia" w:ascii="Times New Roman" w:hAnsi="Times New Roman" w:eastAsia="宋体" w:cs="Times New Roman"/>
              <w:szCs w:val="28"/>
              <w:highlight w:val="none"/>
              <w:lang w:val="zh-CN"/>
            </w:rPr>
            <w:t>（</w:t>
          </w:r>
          <w:r>
            <w:rPr>
              <w:rFonts w:hint="eastAsia" w:ascii="Times New Roman" w:hAnsi="Times New Roman" w:eastAsia="宋体" w:cs="Times New Roman"/>
              <w:szCs w:val="28"/>
              <w:highlight w:val="none"/>
              <w:lang w:val="en-US" w:eastAsia="zh-CN"/>
            </w:rPr>
            <w:t>十二</w:t>
          </w:r>
          <w:r>
            <w:rPr>
              <w:rFonts w:hint="eastAsia" w:ascii="Times New Roman" w:hAnsi="Times New Roman" w:eastAsia="宋体" w:cs="Times New Roman"/>
              <w:szCs w:val="28"/>
              <w:highlight w:val="none"/>
              <w:lang w:val="zh-CN"/>
            </w:rPr>
            <w:t>）南京市政府采购供应商信用记录表暨信用承诺书</w:t>
          </w:r>
          <w:r>
            <w:tab/>
          </w:r>
          <w:r>
            <w:fldChar w:fldCharType="begin"/>
          </w:r>
          <w:r>
            <w:instrText xml:space="preserve"> PAGEREF _Toc15682 \h </w:instrText>
          </w:r>
          <w:r>
            <w:fldChar w:fldCharType="separate"/>
          </w:r>
          <w:r>
            <w:t>51</w:t>
          </w:r>
          <w:r>
            <w:fldChar w:fldCharType="end"/>
          </w:r>
          <w:r>
            <w:rPr>
              <w:rFonts w:ascii="宋体" w:hAnsi="宋体" w:eastAsia="宋体" w:cs="宋体"/>
              <w:spacing w:val="7"/>
              <w:szCs w:val="35"/>
            </w:rPr>
            <w:fldChar w:fldCharType="end"/>
          </w:r>
        </w:p>
        <w:p w14:paraId="7218AEF5">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_Toc16460 </w:instrText>
          </w:r>
          <w:r>
            <w:rPr>
              <w:rFonts w:ascii="宋体" w:hAnsi="宋体" w:eastAsia="宋体" w:cs="宋体"/>
              <w:spacing w:val="7"/>
              <w:szCs w:val="35"/>
            </w:rPr>
            <w:fldChar w:fldCharType="separate"/>
          </w:r>
          <w:r>
            <w:rPr>
              <w:rFonts w:hint="eastAsia"/>
            </w:rPr>
            <w:t>二、技术部分</w:t>
          </w:r>
          <w:r>
            <w:tab/>
          </w:r>
          <w:r>
            <w:fldChar w:fldCharType="begin"/>
          </w:r>
          <w:r>
            <w:instrText xml:space="preserve"> PAGEREF _Toc16460 \h </w:instrText>
          </w:r>
          <w:r>
            <w:fldChar w:fldCharType="separate"/>
          </w:r>
          <w:r>
            <w:t>52</w:t>
          </w:r>
          <w:r>
            <w:fldChar w:fldCharType="end"/>
          </w:r>
          <w:r>
            <w:rPr>
              <w:rFonts w:ascii="宋体" w:hAnsi="宋体" w:eastAsia="宋体" w:cs="宋体"/>
              <w:spacing w:val="7"/>
              <w:szCs w:val="35"/>
            </w:rPr>
            <w:fldChar w:fldCharType="end"/>
          </w:r>
        </w:p>
        <w:p w14:paraId="5CE9E30E">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_Toc5711 </w:instrText>
          </w:r>
          <w:r>
            <w:rPr>
              <w:rFonts w:ascii="宋体" w:hAnsi="宋体" w:eastAsia="宋体" w:cs="宋体"/>
              <w:spacing w:val="7"/>
              <w:szCs w:val="35"/>
            </w:rPr>
            <w:fldChar w:fldCharType="separate"/>
          </w:r>
          <w:r>
            <w:rPr>
              <w:rFonts w:hint="eastAsia"/>
            </w:rPr>
            <w:t>三、商务部分</w:t>
          </w:r>
          <w:r>
            <w:tab/>
          </w:r>
          <w:r>
            <w:fldChar w:fldCharType="begin"/>
          </w:r>
          <w:r>
            <w:instrText xml:space="preserve"> PAGEREF _Toc5711 \h </w:instrText>
          </w:r>
          <w:r>
            <w:fldChar w:fldCharType="separate"/>
          </w:r>
          <w:r>
            <w:t>53</w:t>
          </w:r>
          <w:r>
            <w:fldChar w:fldCharType="end"/>
          </w:r>
          <w:r>
            <w:rPr>
              <w:rFonts w:ascii="宋体" w:hAnsi="宋体" w:eastAsia="宋体" w:cs="宋体"/>
              <w:spacing w:val="7"/>
              <w:szCs w:val="35"/>
            </w:rPr>
            <w:fldChar w:fldCharType="end"/>
          </w:r>
        </w:p>
        <w:p w14:paraId="7BB96A97">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_Toc24464 </w:instrText>
          </w:r>
          <w:r>
            <w:rPr>
              <w:rFonts w:ascii="宋体" w:hAnsi="宋体" w:eastAsia="宋体" w:cs="宋体"/>
              <w:spacing w:val="7"/>
              <w:szCs w:val="35"/>
            </w:rPr>
            <w:fldChar w:fldCharType="separate"/>
          </w:r>
          <w:r>
            <w:rPr>
              <w:rFonts w:hint="eastAsia" w:ascii="Times New Roman" w:hAnsi="Times New Roman" w:eastAsia="宋体" w:cs="Times New Roman"/>
              <w:szCs w:val="28"/>
            </w:rPr>
            <w:t>（一） 供应商能力</w:t>
          </w:r>
          <w:r>
            <w:tab/>
          </w:r>
          <w:r>
            <w:fldChar w:fldCharType="begin"/>
          </w:r>
          <w:r>
            <w:instrText xml:space="preserve"> PAGEREF _Toc24464 \h </w:instrText>
          </w:r>
          <w:r>
            <w:fldChar w:fldCharType="separate"/>
          </w:r>
          <w:r>
            <w:t>54</w:t>
          </w:r>
          <w:r>
            <w:fldChar w:fldCharType="end"/>
          </w:r>
          <w:r>
            <w:rPr>
              <w:rFonts w:ascii="宋体" w:hAnsi="宋体" w:eastAsia="宋体" w:cs="宋体"/>
              <w:spacing w:val="7"/>
              <w:szCs w:val="35"/>
            </w:rPr>
            <w:fldChar w:fldCharType="end"/>
          </w:r>
        </w:p>
        <w:p w14:paraId="5A630A0B">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_Toc10209 </w:instrText>
          </w:r>
          <w:r>
            <w:rPr>
              <w:rFonts w:ascii="宋体" w:hAnsi="宋体" w:eastAsia="宋体" w:cs="宋体"/>
              <w:spacing w:val="7"/>
              <w:szCs w:val="35"/>
            </w:rPr>
            <w:fldChar w:fldCharType="separate"/>
          </w:r>
          <w:r>
            <w:rPr>
              <w:rFonts w:hint="eastAsia" w:ascii="Times New Roman" w:hAnsi="Times New Roman" w:eastAsia="宋体" w:cs="Times New Roman"/>
              <w:szCs w:val="28"/>
            </w:rPr>
            <w:t>（二） 经验</w:t>
          </w:r>
          <w:r>
            <w:tab/>
          </w:r>
          <w:r>
            <w:fldChar w:fldCharType="begin"/>
          </w:r>
          <w:r>
            <w:instrText xml:space="preserve"> PAGEREF _Toc10209 \h </w:instrText>
          </w:r>
          <w:r>
            <w:fldChar w:fldCharType="separate"/>
          </w:r>
          <w:r>
            <w:t>55</w:t>
          </w:r>
          <w:r>
            <w:fldChar w:fldCharType="end"/>
          </w:r>
          <w:r>
            <w:rPr>
              <w:rFonts w:ascii="宋体" w:hAnsi="宋体" w:eastAsia="宋体" w:cs="宋体"/>
              <w:spacing w:val="7"/>
              <w:szCs w:val="35"/>
            </w:rPr>
            <w:fldChar w:fldCharType="end"/>
          </w:r>
        </w:p>
        <w:p w14:paraId="40E41DCF">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_Toc4317 </w:instrText>
          </w:r>
          <w:r>
            <w:rPr>
              <w:rFonts w:ascii="宋体" w:hAnsi="宋体" w:eastAsia="宋体" w:cs="宋体"/>
              <w:spacing w:val="7"/>
              <w:szCs w:val="35"/>
            </w:rPr>
            <w:fldChar w:fldCharType="separate"/>
          </w:r>
          <w:r>
            <w:rPr>
              <w:rFonts w:hint="eastAsia" w:ascii="宋体" w:hAnsi="宋体" w:eastAsia="宋体" w:cs="宋体"/>
            </w:rPr>
            <w:t>(三)</w:t>
          </w:r>
          <w:r>
            <w:rPr>
              <w:rFonts w:hint="eastAsia" w:ascii="宋体" w:hAnsi="宋体" w:eastAsia="宋体" w:cs="宋体"/>
              <w:lang w:val="en-US" w:eastAsia="zh-CN"/>
            </w:rPr>
            <w:t>项目负责人</w:t>
          </w:r>
          <w:r>
            <w:rPr>
              <w:rFonts w:hint="eastAsia" w:ascii="宋体" w:hAnsi="宋体" w:eastAsia="宋体" w:cs="宋体"/>
            </w:rPr>
            <w:t>能力</w:t>
          </w:r>
          <w:r>
            <w:tab/>
          </w:r>
          <w:r>
            <w:fldChar w:fldCharType="begin"/>
          </w:r>
          <w:r>
            <w:instrText xml:space="preserve"> PAGEREF _Toc4317 \h </w:instrText>
          </w:r>
          <w:r>
            <w:fldChar w:fldCharType="separate"/>
          </w:r>
          <w:r>
            <w:t>56</w:t>
          </w:r>
          <w:r>
            <w:fldChar w:fldCharType="end"/>
          </w:r>
          <w:r>
            <w:rPr>
              <w:rFonts w:ascii="宋体" w:hAnsi="宋体" w:eastAsia="宋体" w:cs="宋体"/>
              <w:spacing w:val="7"/>
              <w:szCs w:val="35"/>
            </w:rPr>
            <w:fldChar w:fldCharType="end"/>
          </w:r>
        </w:p>
        <w:p w14:paraId="6B72B791">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_Toc17807 </w:instrText>
          </w:r>
          <w:r>
            <w:rPr>
              <w:rFonts w:ascii="宋体" w:hAnsi="宋体" w:eastAsia="宋体" w:cs="宋体"/>
              <w:spacing w:val="7"/>
              <w:szCs w:val="35"/>
            </w:rPr>
            <w:fldChar w:fldCharType="separate"/>
          </w:r>
          <w:r>
            <w:rPr>
              <w:rFonts w:hint="eastAsia" w:ascii="宋体" w:hAnsi="宋体" w:eastAsia="宋体" w:cs="宋体"/>
            </w:rPr>
            <w:t>(四)项目组成员</w:t>
          </w:r>
          <w:r>
            <w:tab/>
          </w:r>
          <w:r>
            <w:fldChar w:fldCharType="begin"/>
          </w:r>
          <w:r>
            <w:instrText xml:space="preserve"> PAGEREF _Toc17807 \h </w:instrText>
          </w:r>
          <w:r>
            <w:fldChar w:fldCharType="separate"/>
          </w:r>
          <w:r>
            <w:t>57</w:t>
          </w:r>
          <w:r>
            <w:fldChar w:fldCharType="end"/>
          </w:r>
          <w:r>
            <w:rPr>
              <w:rFonts w:ascii="宋体" w:hAnsi="宋体" w:eastAsia="宋体" w:cs="宋体"/>
              <w:spacing w:val="7"/>
              <w:szCs w:val="35"/>
            </w:rPr>
            <w:fldChar w:fldCharType="end"/>
          </w:r>
        </w:p>
        <w:p w14:paraId="535C1FBB">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_Toc30780 </w:instrText>
          </w:r>
          <w:r>
            <w:rPr>
              <w:rFonts w:ascii="宋体" w:hAnsi="宋体" w:eastAsia="宋体" w:cs="宋体"/>
              <w:spacing w:val="7"/>
              <w:szCs w:val="35"/>
            </w:rPr>
            <w:fldChar w:fldCharType="separate"/>
          </w:r>
          <w:r>
            <w:rPr>
              <w:rFonts w:hint="eastAsia" w:ascii="Times New Roman" w:hAnsi="Times New Roman" w:eastAsia="宋体" w:cs="Times New Roman"/>
              <w:szCs w:val="28"/>
            </w:rPr>
            <w:t>（五）首次报价一览表</w:t>
          </w:r>
          <w:r>
            <w:tab/>
          </w:r>
          <w:r>
            <w:fldChar w:fldCharType="begin"/>
          </w:r>
          <w:r>
            <w:instrText xml:space="preserve"> PAGEREF _Toc30780 \h </w:instrText>
          </w:r>
          <w:r>
            <w:fldChar w:fldCharType="separate"/>
          </w:r>
          <w:r>
            <w:t>58</w:t>
          </w:r>
          <w:r>
            <w:fldChar w:fldCharType="end"/>
          </w:r>
          <w:r>
            <w:rPr>
              <w:rFonts w:ascii="宋体" w:hAnsi="宋体" w:eastAsia="宋体" w:cs="宋体"/>
              <w:spacing w:val="7"/>
              <w:szCs w:val="35"/>
            </w:rPr>
            <w:fldChar w:fldCharType="end"/>
          </w:r>
        </w:p>
        <w:p w14:paraId="129693A3">
          <w:pPr>
            <w:pStyle w:val="13"/>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_Toc20185 </w:instrText>
          </w:r>
          <w:r>
            <w:rPr>
              <w:rFonts w:ascii="宋体" w:hAnsi="宋体" w:eastAsia="宋体" w:cs="宋体"/>
              <w:spacing w:val="7"/>
              <w:szCs w:val="35"/>
            </w:rPr>
            <w:fldChar w:fldCharType="separate"/>
          </w:r>
          <w:r>
            <w:rPr>
              <w:rFonts w:hint="eastAsia"/>
            </w:rPr>
            <w:t>四、其它部分</w:t>
          </w:r>
          <w:r>
            <w:tab/>
          </w:r>
          <w:r>
            <w:fldChar w:fldCharType="begin"/>
          </w:r>
          <w:r>
            <w:instrText xml:space="preserve"> PAGEREF _Toc20185 \h </w:instrText>
          </w:r>
          <w:r>
            <w:fldChar w:fldCharType="separate"/>
          </w:r>
          <w:r>
            <w:t>59</w:t>
          </w:r>
          <w:r>
            <w:fldChar w:fldCharType="end"/>
          </w:r>
          <w:r>
            <w:rPr>
              <w:rFonts w:ascii="宋体" w:hAnsi="宋体" w:eastAsia="宋体" w:cs="宋体"/>
              <w:spacing w:val="7"/>
              <w:szCs w:val="35"/>
            </w:rPr>
            <w:fldChar w:fldCharType="end"/>
          </w:r>
        </w:p>
        <w:p w14:paraId="648AB38E">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_Toc7233 </w:instrText>
          </w:r>
          <w:r>
            <w:rPr>
              <w:rFonts w:ascii="宋体" w:hAnsi="宋体" w:eastAsia="宋体" w:cs="宋体"/>
              <w:spacing w:val="7"/>
              <w:szCs w:val="35"/>
            </w:rPr>
            <w:fldChar w:fldCharType="separate"/>
          </w:r>
          <w:r>
            <w:rPr>
              <w:rFonts w:hint="eastAsia" w:ascii="Times New Roman" w:hAnsi="Times New Roman" w:eastAsia="宋体" w:cs="Times New Roman"/>
              <w:szCs w:val="28"/>
            </w:rPr>
            <w:t>(一)中小企业声明函</w:t>
          </w:r>
          <w:r>
            <w:tab/>
          </w:r>
          <w:r>
            <w:fldChar w:fldCharType="begin"/>
          </w:r>
          <w:r>
            <w:instrText xml:space="preserve"> PAGEREF _Toc7233 \h </w:instrText>
          </w:r>
          <w:r>
            <w:fldChar w:fldCharType="separate"/>
          </w:r>
          <w:r>
            <w:t>60</w:t>
          </w:r>
          <w:r>
            <w:fldChar w:fldCharType="end"/>
          </w:r>
          <w:r>
            <w:rPr>
              <w:rFonts w:ascii="宋体" w:hAnsi="宋体" w:eastAsia="宋体" w:cs="宋体"/>
              <w:spacing w:val="7"/>
              <w:szCs w:val="35"/>
            </w:rPr>
            <w:fldChar w:fldCharType="end"/>
          </w:r>
        </w:p>
        <w:p w14:paraId="1B5D5705">
          <w:pPr>
            <w:pStyle w:val="8"/>
            <w:tabs>
              <w:tab w:val="right" w:leader="dot" w:pos="8306"/>
            </w:tabs>
          </w:pPr>
          <w:r>
            <w:rPr>
              <w:rFonts w:ascii="宋体" w:hAnsi="宋体" w:eastAsia="宋体" w:cs="宋体"/>
              <w:spacing w:val="7"/>
              <w:szCs w:val="35"/>
            </w:rPr>
            <w:fldChar w:fldCharType="begin"/>
          </w:r>
          <w:r>
            <w:rPr>
              <w:rFonts w:ascii="宋体" w:hAnsi="宋体" w:eastAsia="宋体" w:cs="宋体"/>
              <w:spacing w:val="7"/>
              <w:szCs w:val="35"/>
            </w:rPr>
            <w:instrText xml:space="preserve"> HYPERLINK \l _Toc10428 </w:instrText>
          </w:r>
          <w:r>
            <w:rPr>
              <w:rFonts w:ascii="宋体" w:hAnsi="宋体" w:eastAsia="宋体" w:cs="宋体"/>
              <w:spacing w:val="7"/>
              <w:szCs w:val="35"/>
            </w:rPr>
            <w:fldChar w:fldCharType="separate"/>
          </w:r>
          <w:r>
            <w:rPr>
              <w:rFonts w:hint="eastAsia" w:ascii="Times New Roman" w:hAnsi="Times New Roman" w:eastAsia="宋体" w:cs="Times New Roman"/>
              <w:szCs w:val="28"/>
            </w:rPr>
            <w:t>(二)按磋商文件要求供应商所能提供的其他文件</w:t>
          </w:r>
          <w:r>
            <w:tab/>
          </w:r>
          <w:r>
            <w:fldChar w:fldCharType="begin"/>
          </w:r>
          <w:r>
            <w:instrText xml:space="preserve"> PAGEREF _Toc10428 \h </w:instrText>
          </w:r>
          <w:r>
            <w:fldChar w:fldCharType="separate"/>
          </w:r>
          <w:r>
            <w:t>61</w:t>
          </w:r>
          <w:r>
            <w:fldChar w:fldCharType="end"/>
          </w:r>
          <w:r>
            <w:rPr>
              <w:rFonts w:ascii="宋体" w:hAnsi="宋体" w:eastAsia="宋体" w:cs="宋体"/>
              <w:spacing w:val="7"/>
              <w:szCs w:val="35"/>
            </w:rPr>
            <w:fldChar w:fldCharType="end"/>
          </w:r>
        </w:p>
        <w:p w14:paraId="0482EE24">
          <w:pPr>
            <w:pStyle w:val="6"/>
            <w:jc w:val="center"/>
            <w:rPr>
              <w:rFonts w:ascii="宋体" w:hAnsi="宋体" w:eastAsia="宋体" w:cs="宋体"/>
              <w:spacing w:val="7"/>
              <w:sz w:val="35"/>
              <w:szCs w:val="35"/>
            </w:rPr>
          </w:pPr>
          <w:r>
            <w:rPr>
              <w:rFonts w:ascii="宋体" w:hAnsi="宋体" w:eastAsia="宋体" w:cs="宋体"/>
              <w:spacing w:val="7"/>
              <w:szCs w:val="35"/>
            </w:rPr>
            <w:fldChar w:fldCharType="end"/>
          </w:r>
        </w:p>
      </w:sdtContent>
    </w:sdt>
    <w:p w14:paraId="2DF680B2">
      <w:pPr>
        <w:rPr>
          <w:rFonts w:ascii="宋体" w:hAnsi="宋体" w:eastAsia="宋体" w:cs="宋体"/>
          <w:spacing w:val="7"/>
          <w:sz w:val="35"/>
          <w:szCs w:val="35"/>
        </w:rPr>
      </w:pPr>
    </w:p>
    <w:p w14:paraId="64B3E72E">
      <w:pPr>
        <w:rPr>
          <w:rFonts w:ascii="宋体" w:hAnsi="宋体" w:eastAsia="宋体" w:cs="宋体"/>
          <w:spacing w:val="7"/>
          <w:sz w:val="35"/>
          <w:szCs w:val="35"/>
        </w:rPr>
      </w:pPr>
    </w:p>
    <w:p w14:paraId="513E0D23">
      <w:pPr>
        <w:bidi w:val="0"/>
        <w:rPr>
          <w:rFonts w:asciiTheme="minorHAnsi" w:hAnsiTheme="minorHAnsi" w:eastAsiaTheme="minorEastAsia" w:cstheme="minorBidi"/>
          <w:kern w:val="2"/>
          <w:sz w:val="21"/>
          <w:szCs w:val="24"/>
          <w:lang w:val="en-US" w:eastAsia="zh-CN" w:bidi="ar-SA"/>
        </w:rPr>
      </w:pPr>
    </w:p>
    <w:p w14:paraId="7CB97C71">
      <w:pPr>
        <w:bidi w:val="0"/>
        <w:rPr>
          <w:lang w:val="en-US" w:eastAsia="zh-CN"/>
        </w:rPr>
      </w:pPr>
    </w:p>
    <w:p w14:paraId="7621FCF7">
      <w:pPr>
        <w:tabs>
          <w:tab w:val="left" w:pos="5061"/>
        </w:tabs>
        <w:bidi w:val="0"/>
        <w:jc w:val="left"/>
        <w:rPr>
          <w:lang w:val="en-US" w:eastAsia="zh-CN"/>
        </w:rPr>
        <w:sectPr>
          <w:pgSz w:w="11906" w:h="16838"/>
          <w:pgMar w:top="1440" w:right="1800" w:bottom="1440" w:left="1800" w:header="851" w:footer="992" w:gutter="0"/>
          <w:cols w:space="425" w:num="1"/>
          <w:docGrid w:type="lines" w:linePitch="312" w:charSpace="0"/>
        </w:sectPr>
      </w:pPr>
      <w:r>
        <w:rPr>
          <w:rFonts w:hint="eastAsia"/>
          <w:lang w:val="en-US" w:eastAsia="zh-CN"/>
        </w:rPr>
        <w:tab/>
      </w:r>
    </w:p>
    <w:p w14:paraId="64B8CA97">
      <w:pPr>
        <w:pStyle w:val="3"/>
        <w:spacing w:line="360" w:lineRule="auto"/>
        <w:jc w:val="center"/>
      </w:pPr>
      <w:bookmarkStart w:id="2" w:name="_Toc10007"/>
      <w:r>
        <w:rPr>
          <w:rFonts w:hint="eastAsia"/>
        </w:rPr>
        <w:t>第一部分磋商邀请</w:t>
      </w:r>
      <w:bookmarkEnd w:id="2"/>
    </w:p>
    <w:tbl>
      <w:tblPr>
        <w:tblStyle w:val="19"/>
        <w:tblW w:w="9634" w:type="dxa"/>
        <w:tblInd w:w="2" w:type="dxa"/>
        <w:tblBorders>
          <w:top w:val="single" w:color="000000" w:sz="2" w:space="0"/>
          <w:left w:val="single" w:color="000000" w:sz="2" w:space="0"/>
          <w:bottom w:val="single" w:color="000000" w:sz="4"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634"/>
      </w:tblGrid>
      <w:tr w14:paraId="1BEBDCC7">
        <w:tblPrEx>
          <w:tblBorders>
            <w:top w:val="single" w:color="000000" w:sz="2" w:space="0"/>
            <w:left w:val="single" w:color="000000" w:sz="2" w:space="0"/>
            <w:bottom w:val="single" w:color="000000" w:sz="4"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081" w:hRule="atLeast"/>
        </w:trPr>
        <w:tc>
          <w:tcPr>
            <w:tcW w:w="9634" w:type="dxa"/>
          </w:tcPr>
          <w:p w14:paraId="2040FEDD">
            <w:pPr>
              <w:spacing w:before="155" w:line="219" w:lineRule="auto"/>
              <w:ind w:left="624"/>
              <w:rPr>
                <w:rFonts w:ascii="宋体" w:hAnsi="宋体" w:eastAsia="宋体" w:cs="宋体"/>
                <w:sz w:val="24"/>
              </w:rPr>
            </w:pPr>
            <w:bookmarkStart w:id="3" w:name="_Hlk142300563"/>
            <w:r>
              <w:rPr>
                <w:rFonts w:ascii="宋体" w:hAnsi="宋体" w:eastAsia="宋体" w:cs="宋体"/>
                <w:spacing w:val="-3"/>
                <w:sz w:val="24"/>
              </w:rPr>
              <w:t>项目概况</w:t>
            </w:r>
          </w:p>
          <w:p w14:paraId="787E2F5C">
            <w:pPr>
              <w:spacing w:before="183" w:line="362" w:lineRule="auto"/>
              <w:ind w:left="144" w:right="167" w:firstLine="480"/>
              <w:rPr>
                <w:rFonts w:ascii="宋体" w:hAnsi="宋体" w:eastAsia="宋体" w:cs="宋体"/>
                <w:sz w:val="24"/>
              </w:rPr>
            </w:pPr>
            <w:r>
              <w:rPr>
                <w:rFonts w:hint="eastAsia" w:ascii="宋体" w:hAnsi="宋体" w:eastAsia="宋体" w:cs="宋体"/>
                <w:spacing w:val="2"/>
                <w:sz w:val="24"/>
                <w:u w:val="single"/>
                <w:lang w:eastAsia="zh-CN"/>
              </w:rPr>
              <w:t>栖霞区北十里长沟东支及百水河流域排水防涝综合整治工程代建管理服务</w:t>
            </w:r>
            <w:r>
              <w:rPr>
                <w:rFonts w:ascii="宋体" w:hAnsi="宋体" w:eastAsia="宋体" w:cs="宋体"/>
                <w:spacing w:val="2"/>
                <w:sz w:val="24"/>
              </w:rPr>
              <w:t>项目的潜在供应商应</w:t>
            </w:r>
            <w:r>
              <w:rPr>
                <w:rFonts w:ascii="宋体" w:hAnsi="宋体" w:eastAsia="宋体" w:cs="宋体"/>
                <w:spacing w:val="2"/>
                <w:sz w:val="24"/>
                <w:u w:val="single"/>
              </w:rPr>
              <w:t>在</w:t>
            </w:r>
            <w:r>
              <w:rPr>
                <w:rFonts w:hint="eastAsia" w:ascii="宋体" w:hAnsi="宋体"/>
                <w:sz w:val="24"/>
                <w:szCs w:val="28"/>
                <w:u w:val="single"/>
              </w:rPr>
              <w:t>苏采云（政府采购一体化平台）</w:t>
            </w:r>
            <w:r>
              <w:fldChar w:fldCharType="begin"/>
            </w:r>
            <w:r>
              <w:instrText xml:space="preserve"> HYPERLINK "http://jszfcg.jscz.gov.cn/jszc/login获取磋商文件，并于2025年10月" </w:instrText>
            </w:r>
            <w:r>
              <w:fldChar w:fldCharType="separate"/>
            </w:r>
            <w:r>
              <w:rPr>
                <w:rStyle w:val="18"/>
                <w:rFonts w:hint="eastAsia" w:ascii="宋体" w:hAnsi="宋体"/>
                <w:color w:val="auto"/>
                <w:sz w:val="24"/>
                <w:szCs w:val="28"/>
              </w:rPr>
              <w:t>http://jszfcg.jscz.gov.cn/jszc/login</w:t>
            </w:r>
            <w:r>
              <w:rPr>
                <w:rStyle w:val="18"/>
                <w:rFonts w:ascii="宋体" w:hAnsi="宋体" w:eastAsia="宋体" w:cs="宋体"/>
                <w:color w:val="auto"/>
                <w:spacing w:val="-1"/>
                <w:sz w:val="24"/>
              </w:rPr>
              <w:t>获取磋商文</w:t>
            </w:r>
            <w:r>
              <w:rPr>
                <w:rStyle w:val="18"/>
                <w:rFonts w:ascii="宋体" w:hAnsi="宋体" w:eastAsia="宋体" w:cs="宋体"/>
                <w:color w:val="auto"/>
                <w:spacing w:val="3"/>
                <w:sz w:val="24"/>
              </w:rPr>
              <w:t>件，并于</w:t>
            </w:r>
            <w:r>
              <w:rPr>
                <w:rStyle w:val="18"/>
                <w:rFonts w:hint="eastAsia" w:ascii="宋体" w:hAnsi="宋体" w:eastAsia="宋体" w:cs="宋体"/>
                <w:color w:val="auto"/>
                <w:spacing w:val="3"/>
                <w:sz w:val="24"/>
              </w:rPr>
              <w:t>202</w:t>
            </w:r>
            <w:r>
              <w:rPr>
                <w:rStyle w:val="18"/>
                <w:rFonts w:hint="eastAsia" w:ascii="宋体" w:hAnsi="宋体" w:eastAsia="宋体" w:cs="宋体"/>
                <w:color w:val="auto"/>
                <w:spacing w:val="3"/>
                <w:sz w:val="24"/>
                <w:lang w:val="en-US" w:eastAsia="zh-CN"/>
              </w:rPr>
              <w:t>6</w:t>
            </w:r>
            <w:r>
              <w:rPr>
                <w:rStyle w:val="18"/>
                <w:rFonts w:hint="eastAsia" w:ascii="宋体" w:hAnsi="宋体" w:eastAsia="宋体" w:cs="宋体"/>
                <w:color w:val="auto"/>
                <w:spacing w:val="3"/>
                <w:sz w:val="24"/>
              </w:rPr>
              <w:t>年</w:t>
            </w:r>
            <w:r>
              <w:rPr>
                <w:rStyle w:val="18"/>
                <w:rFonts w:hint="eastAsia" w:ascii="宋体" w:hAnsi="宋体" w:eastAsia="宋体" w:cs="宋体"/>
                <w:color w:val="auto"/>
                <w:spacing w:val="3"/>
                <w:sz w:val="24"/>
                <w:lang w:val="en-US" w:eastAsia="zh-CN"/>
              </w:rPr>
              <w:t>5</w:t>
            </w:r>
            <w:r>
              <w:rPr>
                <w:rStyle w:val="18"/>
                <w:rFonts w:hint="eastAsia" w:ascii="宋体" w:hAnsi="宋体" w:eastAsia="宋体" w:cs="宋体"/>
                <w:color w:val="auto"/>
                <w:spacing w:val="3"/>
                <w:sz w:val="24"/>
              </w:rPr>
              <w:t>月</w:t>
            </w:r>
            <w:r>
              <w:rPr>
                <w:rStyle w:val="18"/>
                <w:rFonts w:hint="eastAsia" w:ascii="宋体" w:hAnsi="宋体" w:eastAsia="宋体" w:cs="宋体"/>
                <w:color w:val="auto"/>
                <w:spacing w:val="3"/>
                <w:sz w:val="24"/>
              </w:rPr>
              <w:fldChar w:fldCharType="end"/>
            </w:r>
            <w:r>
              <w:rPr>
                <w:rFonts w:hint="eastAsia" w:ascii="宋体" w:hAnsi="宋体" w:eastAsia="宋体" w:cs="宋体"/>
                <w:spacing w:val="3"/>
                <w:sz w:val="24"/>
                <w:u w:val="single"/>
                <w:lang w:val="en-US" w:eastAsia="zh-CN"/>
              </w:rPr>
              <w:t>27</w:t>
            </w:r>
            <w:r>
              <w:rPr>
                <w:rFonts w:hint="eastAsia" w:ascii="宋体" w:hAnsi="宋体" w:eastAsia="宋体" w:cs="宋体"/>
                <w:spacing w:val="3"/>
                <w:sz w:val="24"/>
                <w:u w:val="single"/>
              </w:rPr>
              <w:t>日</w:t>
            </w:r>
            <w:r>
              <w:rPr>
                <w:rFonts w:hint="eastAsia" w:ascii="Times New Roman" w:hAnsi="Times New Roman" w:eastAsia="宋体" w:cs="Times New Roman"/>
                <w:spacing w:val="3"/>
                <w:sz w:val="24"/>
                <w:u w:val="single"/>
                <w:lang w:val="en-US" w:eastAsia="zh-CN"/>
              </w:rPr>
              <w:t>14</w:t>
            </w:r>
            <w:r>
              <w:rPr>
                <w:rFonts w:ascii="Times New Roman" w:hAnsi="Times New Roman" w:eastAsia="Times New Roman" w:cs="Times New Roman"/>
                <w:spacing w:val="3"/>
                <w:sz w:val="24"/>
                <w:u w:val="single"/>
              </w:rPr>
              <w:t>:30</w:t>
            </w:r>
            <w:r>
              <w:rPr>
                <w:rFonts w:ascii="宋体" w:hAnsi="宋体" w:eastAsia="宋体" w:cs="宋体"/>
                <w:spacing w:val="3"/>
                <w:sz w:val="24"/>
              </w:rPr>
              <w:t>(北京时间)前递交</w:t>
            </w:r>
            <w:r>
              <w:rPr>
                <w:rFonts w:ascii="宋体" w:hAnsi="宋体" w:eastAsia="宋体" w:cs="宋体"/>
                <w:spacing w:val="2"/>
                <w:sz w:val="24"/>
              </w:rPr>
              <w:t>响应文件。</w:t>
            </w:r>
          </w:p>
        </w:tc>
      </w:tr>
    </w:tbl>
    <w:p w14:paraId="4281779D"/>
    <w:p w14:paraId="72E49505">
      <w:pPr>
        <w:pStyle w:val="4"/>
        <w:spacing w:line="360" w:lineRule="auto"/>
        <w:jc w:val="left"/>
        <w:rPr>
          <w:rFonts w:ascii="Times New Roman" w:hAnsi="Times New Roman" w:eastAsia="宋体" w:cs="Times New Roman"/>
          <w:sz w:val="24"/>
        </w:rPr>
      </w:pPr>
      <w:bookmarkStart w:id="4" w:name="_Toc31731"/>
      <w:r>
        <w:t>一、项目基本情况</w:t>
      </w:r>
      <w:bookmarkEnd w:id="4"/>
    </w:p>
    <w:p w14:paraId="4635CC57">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项目编号：</w:t>
      </w:r>
      <w:r>
        <w:rPr>
          <w:rFonts w:hint="eastAsia" w:ascii="Times New Roman" w:hAnsi="Times New Roman" w:eastAsia="宋体" w:cs="Times New Roman"/>
          <w:sz w:val="24"/>
          <w:lang w:eastAsia="zh-CN"/>
        </w:rPr>
        <w:t>JSZC-320113-STGC-C2026-0006</w:t>
      </w:r>
      <w:r>
        <w:rPr>
          <w:rFonts w:ascii="Times New Roman" w:hAnsi="Times New Roman" w:eastAsia="宋体" w:cs="Times New Roman"/>
          <w:sz w:val="24"/>
        </w:rPr>
        <w:t xml:space="preserve"> </w:t>
      </w:r>
    </w:p>
    <w:p w14:paraId="18ECF243">
      <w:pPr>
        <w:spacing w:line="360" w:lineRule="auto"/>
        <w:ind w:firstLine="480" w:firstLineChars="200"/>
        <w:rPr>
          <w:rFonts w:hint="eastAsia" w:ascii="Times New Roman" w:hAnsi="Times New Roman" w:eastAsia="宋体" w:cs="Times New Roman"/>
          <w:sz w:val="24"/>
          <w:lang w:eastAsia="zh-CN"/>
        </w:rPr>
      </w:pPr>
      <w:r>
        <w:rPr>
          <w:rFonts w:ascii="Times New Roman" w:hAnsi="Times New Roman" w:eastAsia="宋体" w:cs="Times New Roman"/>
          <w:sz w:val="24"/>
        </w:rPr>
        <w:t>项目名称：</w:t>
      </w:r>
      <w:r>
        <w:rPr>
          <w:rFonts w:hint="eastAsia" w:ascii="Times New Roman" w:hAnsi="Times New Roman" w:eastAsia="宋体" w:cs="Times New Roman"/>
          <w:sz w:val="24"/>
          <w:lang w:eastAsia="zh-CN"/>
        </w:rPr>
        <w:t>栖霞区北十里长沟东支及百水河流域排水防涝综合整治工程代建管理服务</w:t>
      </w:r>
    </w:p>
    <w:p w14:paraId="5516A0D9">
      <w:pPr>
        <w:spacing w:line="360" w:lineRule="auto"/>
        <w:ind w:firstLine="480" w:firstLineChars="200"/>
        <w:rPr>
          <w:rFonts w:ascii="Times New Roman" w:hAnsi="Times New Roman" w:eastAsia="宋体" w:cs="Times New Roman"/>
          <w:sz w:val="24"/>
          <w:highlight w:val="none"/>
        </w:rPr>
      </w:pPr>
      <w:r>
        <w:rPr>
          <w:rFonts w:ascii="Times New Roman" w:hAnsi="Times New Roman" w:eastAsia="宋体" w:cs="Times New Roman"/>
          <w:sz w:val="24"/>
          <w:highlight w:val="none"/>
        </w:rPr>
        <w:t>预算金额：</w:t>
      </w:r>
      <w:r>
        <w:rPr>
          <w:rFonts w:hint="eastAsia" w:ascii="Times New Roman" w:hAnsi="Times New Roman" w:eastAsia="宋体" w:cs="Times New Roman"/>
          <w:sz w:val="24"/>
          <w:highlight w:val="none"/>
          <w:lang w:val="en-US" w:eastAsia="zh-CN"/>
        </w:rPr>
        <w:t>157</w:t>
      </w:r>
      <w:r>
        <w:rPr>
          <w:rFonts w:hint="eastAsia" w:ascii="Times New Roman" w:hAnsi="Times New Roman" w:eastAsia="宋体" w:cs="Times New Roman"/>
          <w:sz w:val="24"/>
          <w:highlight w:val="none"/>
        </w:rPr>
        <w:t>万</w:t>
      </w:r>
      <w:r>
        <w:rPr>
          <w:rFonts w:ascii="Times New Roman" w:hAnsi="Times New Roman" w:eastAsia="宋体" w:cs="Times New Roman"/>
          <w:sz w:val="24"/>
          <w:highlight w:val="none"/>
        </w:rPr>
        <w:t>元</w:t>
      </w:r>
    </w:p>
    <w:p w14:paraId="60257AA0">
      <w:pPr>
        <w:spacing w:line="360" w:lineRule="auto"/>
        <w:ind w:firstLine="480" w:firstLineChars="200"/>
        <w:rPr>
          <w:rFonts w:hint="eastAsia" w:ascii="Times New Roman" w:hAnsi="Times New Roman" w:eastAsia="宋体" w:cs="Times New Roman"/>
          <w:sz w:val="24"/>
          <w:highlight w:val="none"/>
          <w:lang w:eastAsia="zh-CN"/>
        </w:rPr>
      </w:pPr>
      <w:r>
        <w:rPr>
          <w:rFonts w:ascii="Times New Roman" w:hAnsi="Times New Roman" w:eastAsia="宋体" w:cs="Times New Roman"/>
          <w:sz w:val="24"/>
          <w:highlight w:val="none"/>
        </w:rPr>
        <w:t>最高限价：</w:t>
      </w:r>
      <w:r>
        <w:rPr>
          <w:rFonts w:hint="eastAsia" w:ascii="Times New Roman" w:hAnsi="Times New Roman" w:eastAsia="宋体" w:cs="Times New Roman"/>
          <w:sz w:val="24"/>
          <w:highlight w:val="none"/>
          <w:lang w:val="en-US" w:eastAsia="zh-CN"/>
        </w:rPr>
        <w:t>157</w:t>
      </w:r>
      <w:r>
        <w:rPr>
          <w:rFonts w:hint="eastAsia" w:ascii="Times New Roman" w:hAnsi="Times New Roman" w:eastAsia="宋体" w:cs="Times New Roman"/>
          <w:sz w:val="24"/>
          <w:highlight w:val="none"/>
        </w:rPr>
        <w:t>万元</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投标报价超过最高限价的视为无效报价</w:t>
      </w:r>
    </w:p>
    <w:p w14:paraId="18DE2524">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采购需求：</w:t>
      </w:r>
      <w:r>
        <w:rPr>
          <w:rFonts w:hint="eastAsia" w:ascii="宋体" w:hAnsi="宋体" w:eastAsia="宋体" w:cs="宋体"/>
          <w:sz w:val="24"/>
          <w:lang w:val="zh-CN" w:eastAsia="zh-CN"/>
        </w:rPr>
        <w:t>栖霞区北十里长沟东支及百水河流域排水防涝综合整治工程代建管理，</w:t>
      </w:r>
      <w:r>
        <w:rPr>
          <w:rFonts w:ascii="Times New Roman" w:hAnsi="Times New Roman" w:eastAsia="宋体" w:cs="Times New Roman"/>
          <w:sz w:val="24"/>
        </w:rPr>
        <w:t>详细内容及要求见</w:t>
      </w:r>
      <w:r>
        <w:rPr>
          <w:rFonts w:hint="eastAsia" w:ascii="Times New Roman" w:hAnsi="Times New Roman" w:eastAsia="宋体" w:cs="Times New Roman"/>
          <w:sz w:val="24"/>
        </w:rPr>
        <w:t>第四部分</w:t>
      </w:r>
      <w:r>
        <w:rPr>
          <w:rFonts w:ascii="Times New Roman" w:hAnsi="Times New Roman" w:eastAsia="宋体" w:cs="Times New Roman"/>
          <w:sz w:val="24"/>
        </w:rPr>
        <w:t>采购需求。</w:t>
      </w:r>
    </w:p>
    <w:p w14:paraId="1D43A7D4">
      <w:pPr>
        <w:spacing w:line="360" w:lineRule="auto"/>
        <w:ind w:firstLine="480" w:firstLineChars="200"/>
        <w:rPr>
          <w:rFonts w:hint="default" w:ascii="Times New Roman" w:hAnsi="Times New Roman" w:eastAsia="宋体" w:cs="Times New Roman"/>
          <w:sz w:val="24"/>
          <w:lang w:val="en-US"/>
        </w:rPr>
      </w:pPr>
      <w:r>
        <w:rPr>
          <w:rFonts w:ascii="Times New Roman" w:hAnsi="Times New Roman" w:eastAsia="宋体" w:cs="Times New Roman"/>
          <w:sz w:val="24"/>
        </w:rPr>
        <w:t>合同履行期限：</w:t>
      </w:r>
      <w:r>
        <w:rPr>
          <w:rFonts w:hint="eastAsia" w:ascii="宋体" w:hAnsi="宋体" w:eastAsia="宋体"/>
          <w:sz w:val="24"/>
          <w:szCs w:val="24"/>
          <w:lang w:eastAsia="zh-CN"/>
        </w:rPr>
        <w:t>自合同签订之日起至本项目竣工验收合格且决算审计完成</w:t>
      </w:r>
    </w:p>
    <w:p w14:paraId="478A2A03">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本项目是否接受联合体：不接受</w:t>
      </w:r>
    </w:p>
    <w:p w14:paraId="1A7A7F32">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本项目供应商邀请方式：发布公告</w:t>
      </w:r>
    </w:p>
    <w:p w14:paraId="686E6D4A">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本次采购确定的成交供应商数量：1名</w:t>
      </w:r>
    </w:p>
    <w:p w14:paraId="6F639EB3">
      <w:pPr>
        <w:pStyle w:val="4"/>
        <w:spacing w:line="360" w:lineRule="auto"/>
        <w:jc w:val="left"/>
      </w:pPr>
      <w:bookmarkStart w:id="5" w:name="_Toc6744"/>
      <w:r>
        <w:rPr>
          <w:rFonts w:hint="eastAsia"/>
        </w:rPr>
        <w:t>二</w:t>
      </w:r>
      <w:r>
        <w:t>、申请人的资格要求：</w:t>
      </w:r>
      <w:bookmarkEnd w:id="5"/>
    </w:p>
    <w:p w14:paraId="42B415AA">
      <w:pPr>
        <w:spacing w:line="360" w:lineRule="auto"/>
        <w:ind w:firstLine="424" w:firstLineChars="200"/>
        <w:outlineLvl w:val="2"/>
        <w:rPr>
          <w:rFonts w:ascii="宋体" w:hAnsi="宋体" w:eastAsia="宋体" w:cs="宋体"/>
          <w:spacing w:val="-14"/>
          <w:sz w:val="24"/>
        </w:rPr>
      </w:pPr>
      <w:bookmarkStart w:id="6" w:name="_Toc1832"/>
      <w:r>
        <w:rPr>
          <w:rFonts w:ascii="宋体" w:hAnsi="宋体" w:eastAsia="宋体" w:cs="宋体"/>
          <w:spacing w:val="-14"/>
          <w:sz w:val="24"/>
        </w:rPr>
        <w:t>1.满足《中华人民共和国政府采购法》第二十二条规定；</w:t>
      </w:r>
      <w:bookmarkEnd w:id="6"/>
    </w:p>
    <w:p w14:paraId="11AFECBC">
      <w:pPr>
        <w:spacing w:line="360" w:lineRule="auto"/>
        <w:ind w:firstLine="480" w:firstLineChars="200"/>
        <w:rPr>
          <w:rFonts w:ascii="宋体" w:hAnsi="宋体" w:eastAsia="宋体" w:cs="宋体"/>
          <w:sz w:val="24"/>
        </w:rPr>
      </w:pPr>
      <w:r>
        <w:rPr>
          <w:rFonts w:hint="eastAsia" w:ascii="宋体" w:hAnsi="宋体" w:eastAsia="宋体" w:cs="宋体"/>
          <w:sz w:val="24"/>
        </w:rPr>
        <w:t xml:space="preserve">1、具有独立承担民事责任的能力(提供法人或者其他组织的营业执照等证明文件，自然人的身份证明); </w:t>
      </w:r>
    </w:p>
    <w:p w14:paraId="251990D6">
      <w:pPr>
        <w:spacing w:line="360" w:lineRule="auto"/>
        <w:ind w:firstLine="480" w:firstLineChars="200"/>
        <w:rPr>
          <w:rFonts w:ascii="宋体" w:hAnsi="宋体" w:eastAsia="宋体" w:cs="宋体"/>
          <w:sz w:val="24"/>
        </w:rPr>
      </w:pPr>
      <w:r>
        <w:rPr>
          <w:rFonts w:hint="eastAsia" w:ascii="宋体" w:hAnsi="宋体" w:eastAsia="宋体" w:cs="宋体"/>
          <w:sz w:val="24"/>
        </w:rPr>
        <w:t>2、具有良好的商业信誉和健全的财务会计制度(提供202</w:t>
      </w:r>
      <w:r>
        <w:rPr>
          <w:rFonts w:hint="eastAsia" w:ascii="宋体" w:hAnsi="宋体" w:eastAsia="宋体" w:cs="宋体"/>
          <w:sz w:val="24"/>
          <w:lang w:val="en-US" w:eastAsia="zh-CN"/>
        </w:rPr>
        <w:t>5</w:t>
      </w:r>
      <w:r>
        <w:rPr>
          <w:rFonts w:hint="eastAsia" w:ascii="宋体" w:hAnsi="宋体" w:eastAsia="宋体" w:cs="宋体"/>
          <w:sz w:val="24"/>
        </w:rPr>
        <w:t xml:space="preserve">年度财务报告(成立不满一年的提供至少一个月)，或银行出具的资信证明，或财政部门认可的政府采购专业担保机构出具的谈判担保函等，或提供资格承诺函); </w:t>
      </w:r>
    </w:p>
    <w:p w14:paraId="60D61F7B">
      <w:pPr>
        <w:spacing w:line="360" w:lineRule="auto"/>
        <w:ind w:firstLine="480" w:firstLineChars="200"/>
        <w:rPr>
          <w:rFonts w:ascii="宋体" w:hAnsi="宋体" w:eastAsia="宋体" w:cs="宋体"/>
          <w:sz w:val="24"/>
        </w:rPr>
      </w:pPr>
      <w:r>
        <w:rPr>
          <w:rFonts w:hint="eastAsia" w:ascii="宋体" w:hAnsi="宋体" w:eastAsia="宋体" w:cs="宋体"/>
          <w:sz w:val="24"/>
        </w:rPr>
        <w:t xml:space="preserve">3、具备履行合同所必需的设备和专业技术能力(提供资格承诺函); </w:t>
      </w:r>
    </w:p>
    <w:p w14:paraId="1182A54D">
      <w:pPr>
        <w:spacing w:line="360" w:lineRule="auto"/>
        <w:ind w:firstLine="480" w:firstLineChars="200"/>
        <w:rPr>
          <w:rFonts w:ascii="宋体" w:hAnsi="宋体" w:eastAsia="宋体" w:cs="宋体"/>
          <w:sz w:val="24"/>
        </w:rPr>
      </w:pPr>
      <w:r>
        <w:rPr>
          <w:rFonts w:hint="eastAsia" w:ascii="宋体" w:hAnsi="宋体" w:eastAsia="宋体" w:cs="宋体"/>
          <w:sz w:val="24"/>
        </w:rPr>
        <w:t xml:space="preserve">4、有依法缴纳税收和职工社会保障资金的良好记录(提供参加本次政府采购活动前半年内(至少一个月) 依法缴纳税收和社会保障资金的相关材料,或提供资格承诺函); </w:t>
      </w:r>
    </w:p>
    <w:p w14:paraId="5C0C38DD">
      <w:pPr>
        <w:spacing w:line="360" w:lineRule="auto"/>
        <w:ind w:firstLine="480" w:firstLineChars="200"/>
        <w:rPr>
          <w:rFonts w:ascii="宋体" w:hAnsi="宋体" w:eastAsia="宋体" w:cs="宋体"/>
          <w:sz w:val="24"/>
        </w:rPr>
      </w:pPr>
      <w:r>
        <w:rPr>
          <w:rFonts w:hint="eastAsia" w:ascii="宋体" w:hAnsi="宋体" w:eastAsia="宋体" w:cs="宋体"/>
          <w:sz w:val="24"/>
        </w:rPr>
        <w:t xml:space="preserve">5、参加政府采购活动前3年内在经营活动中没有重大违法记录(提供资格承诺函); </w:t>
      </w:r>
    </w:p>
    <w:p w14:paraId="5BEE5179">
      <w:pPr>
        <w:spacing w:line="360" w:lineRule="auto"/>
        <w:ind w:firstLine="480" w:firstLineChars="200"/>
        <w:rPr>
          <w:rFonts w:ascii="宋体" w:hAnsi="宋体" w:eastAsia="宋体" w:cs="宋体"/>
          <w:sz w:val="24"/>
        </w:rPr>
      </w:pPr>
      <w:r>
        <w:rPr>
          <w:rFonts w:hint="eastAsia" w:ascii="宋体" w:hAnsi="宋体" w:eastAsia="宋体" w:cs="宋体"/>
          <w:sz w:val="24"/>
        </w:rPr>
        <w:t>6、法律、行政法规规定的其他条件(信用记录查询证明)。</w:t>
      </w:r>
    </w:p>
    <w:p w14:paraId="60B86AF8">
      <w:pPr>
        <w:spacing w:line="360" w:lineRule="auto"/>
        <w:ind w:firstLine="480" w:firstLineChars="200"/>
        <w:outlineLvl w:val="2"/>
        <w:rPr>
          <w:rFonts w:ascii="宋体" w:hAnsi="宋体" w:eastAsia="宋体" w:cs="宋体"/>
          <w:sz w:val="24"/>
        </w:rPr>
      </w:pPr>
      <w:bookmarkStart w:id="7" w:name="_Toc19435"/>
      <w:r>
        <w:rPr>
          <w:rFonts w:hint="eastAsia" w:ascii="宋体" w:hAnsi="宋体" w:eastAsia="宋体" w:cs="宋体"/>
          <w:sz w:val="24"/>
        </w:rPr>
        <w:t>2.落实政府采购政策需满足的资格要求：</w:t>
      </w:r>
      <w:bookmarkEnd w:id="7"/>
    </w:p>
    <w:p w14:paraId="1DEC8808">
      <w:pPr>
        <w:spacing w:line="360" w:lineRule="auto"/>
        <w:ind w:firstLine="480" w:firstLineChars="200"/>
        <w:rPr>
          <w:rFonts w:ascii="宋体" w:hAnsi="宋体" w:eastAsia="宋体" w:cs="宋体"/>
          <w:color w:val="0000FF"/>
          <w:sz w:val="24"/>
          <w:highlight w:val="none"/>
        </w:rPr>
      </w:pPr>
      <w:r>
        <w:rPr>
          <w:rFonts w:hint="eastAsia" w:ascii="宋体" w:hAnsi="宋体" w:eastAsia="宋体" w:cs="宋体"/>
          <w:sz w:val="24"/>
        </w:rPr>
        <w:t>根据财政部、工业和信息化部关于印发《政府采购促进中小企业发展管理办法》的通知及苏财购【2022】45 号的相关规定，</w:t>
      </w:r>
      <w:r>
        <w:rPr>
          <w:rFonts w:hint="eastAsia" w:ascii="宋体" w:hAnsi="宋体" w:eastAsia="宋体" w:cs="宋体"/>
          <w:color w:val="0000FF"/>
          <w:sz w:val="24"/>
        </w:rPr>
        <w:t>本项目</w:t>
      </w:r>
      <w:r>
        <w:rPr>
          <w:rFonts w:hint="eastAsia" w:ascii="宋体" w:hAnsi="宋体" w:eastAsia="宋体" w:cs="宋体"/>
          <w:b/>
          <w:bCs/>
          <w:color w:val="0000FF"/>
          <w:sz w:val="24"/>
          <w:lang w:val="en-US" w:eastAsia="zh-CN"/>
        </w:rPr>
        <w:t>为非</w:t>
      </w:r>
      <w:r>
        <w:rPr>
          <w:rFonts w:hint="eastAsia" w:ascii="宋体" w:hAnsi="宋体" w:eastAsia="宋体" w:cs="宋体"/>
          <w:b/>
          <w:bCs/>
          <w:color w:val="0000FF"/>
          <w:sz w:val="24"/>
        </w:rPr>
        <w:t>专门面向中小微企业采购</w:t>
      </w:r>
      <w:r>
        <w:rPr>
          <w:rFonts w:hint="eastAsia" w:ascii="宋体" w:hAnsi="宋体" w:eastAsia="宋体" w:cs="宋体"/>
          <w:color w:val="0000FF"/>
          <w:sz w:val="24"/>
        </w:rPr>
        <w:t>。中小企业划分标准见《工业和信息化部、国家统计局、国家发展和改革委员会、财政部关于印发中小企业划型标准规定的通知》(工信部联企业[2011]300号</w:t>
      </w:r>
      <w:r>
        <w:rPr>
          <w:rFonts w:hint="eastAsia" w:ascii="宋体" w:hAnsi="宋体" w:eastAsia="宋体" w:cs="宋体"/>
          <w:color w:val="0000FF"/>
          <w:sz w:val="24"/>
          <w:highlight w:val="none"/>
        </w:rPr>
        <w:t>)(所属行业:</w:t>
      </w:r>
      <w:r>
        <w:rPr>
          <w:rFonts w:hint="eastAsia" w:ascii="宋体" w:hAnsi="宋体" w:eastAsia="宋体" w:cs="宋体"/>
          <w:color w:val="0000FF"/>
          <w:sz w:val="24"/>
          <w:highlight w:val="none"/>
          <w:lang w:eastAsia="zh-CN"/>
        </w:rPr>
        <w:t>租赁和商务服务业</w:t>
      </w:r>
      <w:r>
        <w:rPr>
          <w:rFonts w:hint="eastAsia" w:ascii="宋体" w:hAnsi="宋体" w:eastAsia="宋体" w:cs="宋体"/>
          <w:color w:val="0000FF"/>
          <w:sz w:val="24"/>
          <w:highlight w:val="none"/>
        </w:rPr>
        <w:t>)</w:t>
      </w:r>
    </w:p>
    <w:p w14:paraId="0B5A539D">
      <w:pPr>
        <w:spacing w:line="360" w:lineRule="auto"/>
        <w:ind w:firstLine="480" w:firstLineChars="200"/>
        <w:outlineLvl w:val="2"/>
        <w:rPr>
          <w:rFonts w:ascii="宋体" w:hAnsi="宋体" w:eastAsia="宋体" w:cs="宋体"/>
          <w:sz w:val="24"/>
          <w:highlight w:val="none"/>
        </w:rPr>
      </w:pPr>
      <w:bookmarkStart w:id="8" w:name="_Toc29307"/>
      <w:r>
        <w:rPr>
          <w:rFonts w:hint="eastAsia" w:ascii="宋体" w:hAnsi="宋体" w:eastAsia="宋体" w:cs="宋体"/>
          <w:sz w:val="24"/>
          <w:highlight w:val="none"/>
        </w:rPr>
        <w:t>3.本项目的特定资格要求：</w:t>
      </w:r>
      <w:bookmarkEnd w:id="8"/>
    </w:p>
    <w:p w14:paraId="63961939">
      <w:pPr>
        <w:tabs>
          <w:tab w:val="left" w:pos="7005"/>
        </w:tabs>
        <w:autoSpaceDE w:val="0"/>
        <w:autoSpaceDN w:val="0"/>
        <w:adjustRightInd w:val="0"/>
        <w:spacing w:line="360" w:lineRule="auto"/>
        <w:ind w:firstLine="480" w:firstLineChars="200"/>
        <w:rPr>
          <w:rFonts w:ascii="宋体" w:hAnsi="宋体" w:eastAsia="宋体"/>
          <w:bCs/>
          <w:color w:val="0000FF"/>
          <w:sz w:val="24"/>
          <w:szCs w:val="24"/>
          <w:highlight w:val="none"/>
          <w:lang w:eastAsia="zh-CN"/>
        </w:rPr>
      </w:pPr>
      <w:r>
        <w:rPr>
          <w:rFonts w:hint="eastAsia" w:ascii="宋体" w:hAnsi="宋体" w:eastAsia="宋体"/>
          <w:bCs/>
          <w:color w:val="0000FF"/>
          <w:sz w:val="24"/>
          <w:szCs w:val="24"/>
          <w:highlight w:val="none"/>
          <w:lang w:val="en-US" w:eastAsia="zh-CN"/>
        </w:rPr>
        <w:t>供应商</w:t>
      </w:r>
      <w:r>
        <w:rPr>
          <w:rFonts w:hint="eastAsia" w:ascii="宋体" w:hAnsi="宋体" w:eastAsia="宋体"/>
          <w:bCs/>
          <w:color w:val="0000FF"/>
          <w:sz w:val="24"/>
          <w:szCs w:val="24"/>
          <w:highlight w:val="none"/>
          <w:lang w:eastAsia="zh-CN"/>
        </w:rPr>
        <w:t>资质等级及范围：投标人应具有工程勘察（水利工程或市政工程）专业乙级及以上资质；或工程设计（水利行业或市政行业）专业乙级及以上资质；或工程监理（水利水电工程或市政公用工程）专业乙级及以上资质。投标人若同时具备多项资质，可一并提供，但至少应满足其中一项。</w:t>
      </w:r>
    </w:p>
    <w:p w14:paraId="28C456F3">
      <w:pPr>
        <w:pStyle w:val="4"/>
        <w:spacing w:line="360" w:lineRule="auto"/>
        <w:jc w:val="left"/>
        <w:rPr>
          <w:rFonts w:ascii="宋体" w:hAnsi="宋体" w:eastAsia="宋体" w:cs="宋体"/>
          <w:sz w:val="24"/>
        </w:rPr>
      </w:pPr>
      <w:bookmarkStart w:id="9" w:name="_Toc7413"/>
      <w:r>
        <w:t>三、获取磋商文件</w:t>
      </w:r>
      <w:r>
        <w:rPr>
          <w:rFonts w:hint="eastAsia"/>
        </w:rPr>
        <w:t>：本项目采用网上注册登记方式</w:t>
      </w:r>
      <w:bookmarkEnd w:id="9"/>
    </w:p>
    <w:p w14:paraId="0F485E27">
      <w:pPr>
        <w:spacing w:line="360" w:lineRule="auto"/>
        <w:ind w:firstLine="480" w:firstLineChars="200"/>
        <w:rPr>
          <w:rFonts w:ascii="宋体" w:hAnsi="宋体"/>
          <w:sz w:val="24"/>
          <w:szCs w:val="28"/>
          <w:highlight w:val="none"/>
        </w:rPr>
      </w:pPr>
      <w:r>
        <w:rPr>
          <w:rFonts w:hint="eastAsia" w:ascii="宋体" w:hAnsi="宋体"/>
          <w:sz w:val="24"/>
          <w:szCs w:val="28"/>
        </w:rPr>
        <w:t>获取时间：</w:t>
      </w:r>
      <w:r>
        <w:rPr>
          <w:rFonts w:hint="eastAsia" w:ascii="宋体" w:hAnsi="宋体"/>
          <w:sz w:val="24"/>
          <w:szCs w:val="28"/>
          <w:highlight w:val="none"/>
        </w:rPr>
        <w:t>自磋商文件公告发布之日起5个工作日</w:t>
      </w:r>
    </w:p>
    <w:p w14:paraId="72ECBC0D">
      <w:pPr>
        <w:spacing w:line="360" w:lineRule="auto"/>
        <w:ind w:firstLine="480" w:firstLineChars="200"/>
        <w:rPr>
          <w:rFonts w:hint="eastAsia" w:ascii="宋体" w:hAnsi="宋体"/>
          <w:sz w:val="24"/>
          <w:szCs w:val="28"/>
        </w:rPr>
      </w:pPr>
      <w:r>
        <w:rPr>
          <w:rFonts w:hint="eastAsia" w:ascii="宋体" w:hAnsi="宋体"/>
          <w:sz w:val="24"/>
          <w:szCs w:val="28"/>
        </w:rPr>
        <w:t>获取地点：江苏政府采购网（苏彩云）系统 </w:t>
      </w:r>
    </w:p>
    <w:p w14:paraId="66B9D232">
      <w:pPr>
        <w:spacing w:line="360" w:lineRule="auto"/>
        <w:ind w:firstLine="480" w:firstLineChars="200"/>
        <w:rPr>
          <w:rFonts w:hint="default" w:ascii="宋体" w:hAnsi="宋体"/>
          <w:sz w:val="24"/>
          <w:szCs w:val="28"/>
        </w:rPr>
      </w:pPr>
      <w:r>
        <w:rPr>
          <w:rFonts w:hint="eastAsia" w:ascii="宋体" w:hAnsi="宋体"/>
          <w:sz w:val="24"/>
          <w:szCs w:val="28"/>
        </w:rPr>
        <w:t>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11B0FFB1">
      <w:pPr>
        <w:spacing w:line="360" w:lineRule="auto"/>
        <w:ind w:firstLine="480" w:firstLineChars="200"/>
        <w:rPr>
          <w:rFonts w:ascii="宋体" w:hAnsi="宋体"/>
          <w:sz w:val="24"/>
          <w:szCs w:val="28"/>
        </w:rPr>
      </w:pPr>
      <w:r>
        <w:rPr>
          <w:rFonts w:hint="eastAsia" w:ascii="宋体" w:hAnsi="宋体"/>
          <w:sz w:val="24"/>
          <w:szCs w:val="28"/>
        </w:rPr>
        <w:t>采购文件售价：</w:t>
      </w:r>
      <w:bookmarkStart w:id="10" w:name="EB263751bfbe2d462f84f54b87d73fe0c3"/>
      <w:r>
        <w:rPr>
          <w:rFonts w:hint="eastAsia" w:ascii="宋体" w:hAnsi="宋体"/>
          <w:sz w:val="24"/>
          <w:szCs w:val="28"/>
        </w:rPr>
        <w:t>免费</w:t>
      </w:r>
      <w:bookmarkEnd w:id="10"/>
    </w:p>
    <w:p w14:paraId="4E4DD32F">
      <w:pPr>
        <w:spacing w:line="360" w:lineRule="auto"/>
        <w:ind w:firstLine="480" w:firstLineChars="200"/>
        <w:rPr>
          <w:rFonts w:ascii="宋体" w:hAnsi="宋体" w:eastAsia="宋体" w:cs="宋体"/>
          <w:sz w:val="24"/>
        </w:rPr>
      </w:pPr>
      <w:r>
        <w:rPr>
          <w:rFonts w:hint="eastAsia" w:ascii="宋体" w:hAnsi="宋体" w:cs="Times New Roman"/>
          <w:sz w:val="24"/>
          <w:szCs w:val="28"/>
        </w:rPr>
        <w:t>采购代理机构将数据电文形式的磋商文件加载至电子招标投标交易平台，供潜在供应商下载或者查阅，</w:t>
      </w:r>
      <w:r>
        <w:rPr>
          <w:rFonts w:hint="eastAsia" w:ascii="宋体" w:hAnsi="宋体" w:cs="Times New Roman"/>
          <w:b/>
          <w:bCs/>
          <w:sz w:val="24"/>
          <w:szCs w:val="28"/>
        </w:rPr>
        <w:t>各投标人应在规定的时间内完成磋商文件的下载，逾期可能会造成磋商文件无法下载以及磋商响应文件无法上传的情形，由此导致的后果由各投标人自行承担。</w:t>
      </w:r>
    </w:p>
    <w:p w14:paraId="1AABA085">
      <w:pPr>
        <w:pStyle w:val="4"/>
        <w:spacing w:line="360" w:lineRule="auto"/>
        <w:jc w:val="left"/>
      </w:pPr>
      <w:bookmarkStart w:id="11" w:name="_Toc3320"/>
      <w:r>
        <w:t>四、</w:t>
      </w:r>
      <w:r>
        <w:rPr>
          <w:rFonts w:hint="eastAsia"/>
        </w:rPr>
        <w:t>提交磋商响应文件截止时间、开标时间和地点</w:t>
      </w:r>
      <w:bookmarkEnd w:id="11"/>
    </w:p>
    <w:p w14:paraId="580AE988">
      <w:pPr>
        <w:spacing w:line="360" w:lineRule="auto"/>
        <w:ind w:firstLine="482" w:firstLineChars="200"/>
        <w:rPr>
          <w:rFonts w:ascii="宋体" w:hAnsi="宋体"/>
          <w:bCs/>
          <w:sz w:val="24"/>
          <w:szCs w:val="28"/>
        </w:rPr>
      </w:pPr>
      <w:r>
        <w:rPr>
          <w:rFonts w:hint="eastAsia" w:ascii="宋体" w:hAnsi="宋体"/>
          <w:b/>
          <w:sz w:val="24"/>
          <w:szCs w:val="28"/>
          <w:highlight w:val="none"/>
        </w:rPr>
        <w:t>提交截止时间及开标时间</w:t>
      </w:r>
      <w:r>
        <w:rPr>
          <w:rFonts w:hint="eastAsia" w:ascii="宋体" w:hAnsi="宋体"/>
          <w:bCs/>
          <w:sz w:val="24"/>
          <w:szCs w:val="28"/>
          <w:highlight w:val="none"/>
        </w:rPr>
        <w:t>：</w:t>
      </w:r>
      <w:bookmarkStart w:id="12" w:name="EB428f87493181411b9a39d0ec7414e136"/>
      <w:r>
        <w:rPr>
          <w:rFonts w:hint="eastAsia" w:ascii="宋体" w:hAnsi="宋体"/>
          <w:bCs/>
          <w:sz w:val="24"/>
          <w:szCs w:val="28"/>
          <w:highlight w:val="none"/>
        </w:rPr>
        <w:t>202</w:t>
      </w:r>
      <w:r>
        <w:rPr>
          <w:rFonts w:hint="eastAsia" w:ascii="宋体" w:hAnsi="宋体"/>
          <w:bCs/>
          <w:sz w:val="24"/>
          <w:szCs w:val="28"/>
          <w:highlight w:val="none"/>
          <w:lang w:val="en-US" w:eastAsia="zh-CN"/>
        </w:rPr>
        <w:t>6</w:t>
      </w:r>
      <w:r>
        <w:rPr>
          <w:rFonts w:hint="eastAsia" w:ascii="宋体" w:hAnsi="宋体"/>
          <w:bCs/>
          <w:sz w:val="24"/>
          <w:szCs w:val="28"/>
          <w:highlight w:val="none"/>
        </w:rPr>
        <w:t>-</w:t>
      </w:r>
      <w:r>
        <w:rPr>
          <w:rFonts w:hint="eastAsia" w:ascii="宋体" w:hAnsi="宋体"/>
          <w:bCs/>
          <w:sz w:val="24"/>
          <w:szCs w:val="28"/>
          <w:highlight w:val="none"/>
          <w:lang w:val="en-US" w:eastAsia="zh-CN"/>
        </w:rPr>
        <w:t>5</w:t>
      </w:r>
      <w:r>
        <w:rPr>
          <w:rFonts w:hint="eastAsia" w:ascii="宋体" w:hAnsi="宋体"/>
          <w:bCs/>
          <w:sz w:val="24"/>
          <w:szCs w:val="28"/>
          <w:highlight w:val="none"/>
        </w:rPr>
        <w:t>-</w:t>
      </w:r>
      <w:r>
        <w:rPr>
          <w:rFonts w:hint="eastAsia" w:ascii="宋体" w:hAnsi="宋体"/>
          <w:bCs/>
          <w:sz w:val="24"/>
          <w:szCs w:val="28"/>
          <w:highlight w:val="none"/>
          <w:lang w:val="en-US" w:eastAsia="zh-CN"/>
        </w:rPr>
        <w:t xml:space="preserve">27 </w:t>
      </w:r>
      <w:r>
        <w:rPr>
          <w:rFonts w:hint="eastAsia" w:ascii="宋体" w:hAnsi="宋体"/>
          <w:bCs/>
          <w:sz w:val="24"/>
          <w:szCs w:val="28"/>
          <w:highlight w:val="none"/>
        </w:rPr>
        <w:t xml:space="preserve"> </w:t>
      </w:r>
      <w:r>
        <w:rPr>
          <w:rFonts w:hint="eastAsia" w:ascii="Times New Roman" w:hAnsi="Times New Roman" w:eastAsia="宋体" w:cs="Times New Roman"/>
          <w:sz w:val="24"/>
          <w:highlight w:val="none"/>
          <w:lang w:val="en-US" w:eastAsia="zh-CN"/>
        </w:rPr>
        <w:t>14</w:t>
      </w:r>
      <w:r>
        <w:rPr>
          <w:rFonts w:hint="eastAsia" w:ascii="宋体" w:hAnsi="宋体"/>
          <w:bCs/>
          <w:sz w:val="24"/>
          <w:szCs w:val="28"/>
          <w:highlight w:val="none"/>
        </w:rPr>
        <w:t>:30</w:t>
      </w:r>
      <w:bookmarkEnd w:id="12"/>
      <w:r>
        <w:rPr>
          <w:rFonts w:hint="eastAsia" w:ascii="宋体" w:hAnsi="宋体"/>
          <w:bCs/>
          <w:sz w:val="24"/>
          <w:szCs w:val="28"/>
          <w:highlight w:val="none"/>
        </w:rPr>
        <w:t>（北</w:t>
      </w:r>
      <w:r>
        <w:rPr>
          <w:rFonts w:hint="eastAsia" w:ascii="宋体" w:hAnsi="宋体"/>
          <w:bCs/>
          <w:sz w:val="24"/>
          <w:szCs w:val="28"/>
        </w:rPr>
        <w:t>京时间</w:t>
      </w:r>
      <w:bookmarkStart w:id="141" w:name="_GoBack"/>
      <w:bookmarkEnd w:id="141"/>
      <w:r>
        <w:rPr>
          <w:rFonts w:hint="eastAsia" w:ascii="宋体" w:hAnsi="宋体"/>
          <w:bCs/>
          <w:sz w:val="24"/>
          <w:szCs w:val="28"/>
        </w:rPr>
        <w:t>），在截止时间后送达及上传至“苏采云”系统的磋商响应文件为无效文件，将被拒收。</w:t>
      </w:r>
    </w:p>
    <w:p w14:paraId="35ADEEEF">
      <w:pPr>
        <w:spacing w:line="360" w:lineRule="auto"/>
        <w:ind w:firstLine="482" w:firstLineChars="200"/>
        <w:rPr>
          <w:rFonts w:ascii="宋体" w:hAnsi="宋体" w:cs="Times New Roman"/>
          <w:bCs/>
          <w:sz w:val="24"/>
          <w:szCs w:val="28"/>
        </w:rPr>
      </w:pPr>
      <w:r>
        <w:rPr>
          <w:rFonts w:hint="eastAsia" w:ascii="宋体" w:hAnsi="宋体" w:cs="Times New Roman"/>
          <w:b/>
          <w:sz w:val="24"/>
          <w:szCs w:val="28"/>
        </w:rPr>
        <w:t>提交首次磋商响应文件地点</w:t>
      </w:r>
      <w:r>
        <w:rPr>
          <w:rFonts w:hint="eastAsia" w:ascii="宋体" w:hAnsi="宋体" w:cs="Times New Roman"/>
          <w:bCs/>
          <w:sz w:val="24"/>
          <w:szCs w:val="28"/>
        </w:rPr>
        <w:t>：</w:t>
      </w:r>
    </w:p>
    <w:p w14:paraId="6CB40935">
      <w:pPr>
        <w:spacing w:line="360" w:lineRule="auto"/>
        <w:ind w:firstLine="480" w:firstLineChars="200"/>
        <w:rPr>
          <w:rFonts w:ascii="宋体" w:hAnsi="宋体" w:cs="Times New Roman"/>
          <w:bCs/>
          <w:sz w:val="24"/>
          <w:szCs w:val="28"/>
        </w:rPr>
      </w:pPr>
      <w:r>
        <w:rPr>
          <w:rFonts w:hint="eastAsia" w:ascii="宋体" w:hAnsi="宋体" w:cs="Times New Roman"/>
          <w:bCs/>
          <w:sz w:val="24"/>
          <w:szCs w:val="28"/>
        </w:rPr>
        <w:t>线上地点：将后缀名为“.kedt”的磋商响应文件导入政府采购客户端工具--制作磋商响应文件--导出加密的磋商响应文件(后缀名为zip) --通过“苏采云”系统上传磋商响应文件。具体详见《江苏省政府采购管理交易系统(苏采云)供应商操作指南》。</w:t>
      </w:r>
    </w:p>
    <w:p w14:paraId="51D233E8">
      <w:pPr>
        <w:spacing w:line="360" w:lineRule="auto"/>
        <w:ind w:firstLine="482" w:firstLineChars="200"/>
        <w:rPr>
          <w:rFonts w:ascii="宋体" w:hAnsi="宋体" w:cs="宋体"/>
          <w:sz w:val="24"/>
        </w:rPr>
      </w:pPr>
      <w:r>
        <w:rPr>
          <w:rFonts w:hint="eastAsia" w:ascii="宋体" w:hAnsi="宋体"/>
          <w:b/>
          <w:bCs/>
          <w:sz w:val="24"/>
          <w:szCs w:val="28"/>
        </w:rPr>
        <w:t>开标地点</w:t>
      </w:r>
      <w:r>
        <w:rPr>
          <w:rFonts w:hint="eastAsia" w:ascii="宋体" w:hAnsi="宋体"/>
          <w:sz w:val="24"/>
          <w:szCs w:val="28"/>
        </w:rPr>
        <w:t>：“苏采云”系统（网址：http://jszfcg.jsczt.cn/）“开标大厅”进入系统“开标大厅”。（</w:t>
      </w:r>
      <w:r>
        <w:rPr>
          <w:rFonts w:hint="eastAsia" w:ascii="宋体" w:hAnsi="宋体" w:eastAsia="宋体" w:cs="宋体"/>
          <w:sz w:val="24"/>
        </w:rPr>
        <w:t>苏采云系统使用</w:t>
      </w:r>
      <w:r>
        <w:rPr>
          <w:rFonts w:hint="eastAsia" w:ascii="宋体" w:hAnsi="宋体" w:cs="宋体"/>
          <w:sz w:val="24"/>
        </w:rPr>
        <w:t>稳定</w:t>
      </w:r>
      <w:r>
        <w:rPr>
          <w:rFonts w:hint="eastAsia" w:ascii="宋体" w:hAnsi="宋体" w:eastAsia="宋体" w:cs="宋体"/>
          <w:sz w:val="24"/>
        </w:rPr>
        <w:t>谷歌浏览器</w:t>
      </w:r>
      <w:r>
        <w:rPr>
          <w:rFonts w:hint="eastAsia" w:ascii="宋体" w:hAnsi="宋体" w:cs="宋体"/>
          <w:sz w:val="24"/>
        </w:rPr>
        <w:t>（100版本以下）或360安全浏览器（极速模式）</w:t>
      </w:r>
      <w:r>
        <w:rPr>
          <w:rFonts w:hint="eastAsia" w:ascii="宋体" w:hAnsi="宋体" w:eastAsia="宋体" w:cs="宋体"/>
          <w:sz w:val="24"/>
        </w:rPr>
        <w:t>参与不见面开标</w:t>
      </w:r>
      <w:r>
        <w:rPr>
          <w:rFonts w:hint="eastAsia" w:ascii="宋体" w:hAnsi="宋体" w:cs="宋体"/>
          <w:sz w:val="24"/>
        </w:rPr>
        <w:t>。）</w:t>
      </w:r>
    </w:p>
    <w:p w14:paraId="081E3CA7">
      <w:pPr>
        <w:spacing w:line="360" w:lineRule="auto"/>
        <w:ind w:firstLine="480" w:firstLineChars="200"/>
        <w:rPr>
          <w:rFonts w:ascii="宋体" w:hAnsi="宋体" w:eastAsia="宋体" w:cs="宋体"/>
          <w:sz w:val="24"/>
        </w:rPr>
      </w:pPr>
      <w:r>
        <w:rPr>
          <w:rFonts w:hint="eastAsia" w:ascii="宋体" w:hAnsi="宋体" w:eastAsia="宋体" w:cs="宋体"/>
          <w:sz w:val="24"/>
        </w:rPr>
        <w:t>本项目采用</w:t>
      </w:r>
      <w:r>
        <w:rPr>
          <w:rFonts w:hint="eastAsia" w:ascii="宋体" w:hAnsi="宋体" w:eastAsia="宋体" w:cs="宋体"/>
          <w:b/>
          <w:bCs/>
          <w:sz w:val="24"/>
        </w:rPr>
        <w:t>远程不见面交易</w:t>
      </w:r>
      <w:r>
        <w:rPr>
          <w:rFonts w:hint="eastAsia" w:ascii="宋体" w:hAnsi="宋体" w:eastAsia="宋体" w:cs="宋体"/>
          <w:sz w:val="24"/>
        </w:rPr>
        <w:t>模式，通过不见面交易系统及相应的配套硬件设备（摄像头、话筒、麦克风等）完成远程解密、开标现场异议及回复、开标唱标等交互环节。</w:t>
      </w:r>
    </w:p>
    <w:p w14:paraId="0B097F54">
      <w:pPr>
        <w:spacing w:line="360" w:lineRule="auto"/>
        <w:ind w:firstLine="480" w:firstLineChars="200"/>
        <w:rPr>
          <w:sz w:val="24"/>
        </w:rPr>
      </w:pPr>
      <w:r>
        <w:rPr>
          <w:rFonts w:hint="eastAsia"/>
          <w:sz w:val="24"/>
        </w:rPr>
        <w:t>不见面交易相关要求和说明如下：</w:t>
      </w:r>
    </w:p>
    <w:p w14:paraId="066676E3">
      <w:pPr>
        <w:spacing w:line="360" w:lineRule="auto"/>
        <w:ind w:firstLine="480" w:firstLineChars="200"/>
        <w:rPr>
          <w:sz w:val="24"/>
        </w:rPr>
      </w:pPr>
      <w:r>
        <w:rPr>
          <w:rFonts w:hint="eastAsia"/>
          <w:sz w:val="24"/>
        </w:rPr>
        <w:t>（1）不见面开标项目的时间均以国家授时中心发布的时间为准；</w:t>
      </w:r>
    </w:p>
    <w:p w14:paraId="23EB8CE0">
      <w:pPr>
        <w:spacing w:line="360" w:lineRule="auto"/>
        <w:ind w:firstLine="480" w:firstLineChars="200"/>
        <w:rPr>
          <w:sz w:val="24"/>
        </w:rPr>
      </w:pPr>
      <w:r>
        <w:rPr>
          <w:rFonts w:hint="eastAsia"/>
          <w:sz w:val="24"/>
        </w:rPr>
        <w:t>（2）开标当日，投标人不必抵达开标现场，仅需在任意地点通过“苏采云”系统（网址：http://jszfcg.jsczt.cn/）“开标大厅”进入系统“开标大厅”参与开标过程；</w:t>
      </w:r>
    </w:p>
    <w:p w14:paraId="1E883FE0">
      <w:pPr>
        <w:spacing w:line="360" w:lineRule="auto"/>
        <w:ind w:firstLine="480" w:firstLineChars="200"/>
        <w:rPr>
          <w:sz w:val="24"/>
        </w:rPr>
      </w:pPr>
      <w:r>
        <w:rPr>
          <w:rFonts w:hint="eastAsia"/>
          <w:sz w:val="24"/>
        </w:rPr>
        <w:t>（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p>
    <w:p w14:paraId="6C072753">
      <w:pPr>
        <w:spacing w:line="360" w:lineRule="auto"/>
        <w:ind w:firstLine="480" w:firstLineChars="200"/>
        <w:rPr>
          <w:sz w:val="24"/>
        </w:rPr>
      </w:pPr>
      <w:r>
        <w:rPr>
          <w:rFonts w:hint="eastAsia"/>
          <w:sz w:val="24"/>
        </w:rPr>
        <w:t>（4）磋商响应文件递交截止时间后，采购人或采购代理机构将在系统内公布投标人名单然后通过开标会议区发出磋商响应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磋商响应文件在规定时间内未能解密、解密失败或解密超时，视为投标人撤销其磋商响应文件；因网上平台发生故障，导致无法按时完成磋商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697C88C5">
      <w:pPr>
        <w:spacing w:line="360" w:lineRule="auto"/>
        <w:ind w:firstLine="480" w:firstLineChars="200"/>
        <w:rPr>
          <w:sz w:val="24"/>
        </w:rPr>
      </w:pPr>
      <w:r>
        <w:rPr>
          <w:rFonts w:hint="eastAsia"/>
          <w:sz w:val="24"/>
        </w:rPr>
        <w:t>（5）因投标人自身软硬件配备不齐全或发生故障等问题而导致在交互过程中出现不稳定或中断等情况的，由投标人自身承担一切后果。</w:t>
      </w:r>
    </w:p>
    <w:p w14:paraId="6997E3E0">
      <w:pPr>
        <w:pStyle w:val="4"/>
        <w:spacing w:line="360" w:lineRule="auto"/>
        <w:jc w:val="left"/>
      </w:pPr>
      <w:bookmarkStart w:id="13" w:name="_Toc20680"/>
      <w:r>
        <w:rPr>
          <w:rFonts w:hint="eastAsia"/>
        </w:rPr>
        <w:t>五</w:t>
      </w:r>
      <w:r>
        <w:t>、公告期限</w:t>
      </w:r>
      <w:bookmarkEnd w:id="13"/>
    </w:p>
    <w:p w14:paraId="030E0150">
      <w:pPr>
        <w:spacing w:line="360" w:lineRule="auto"/>
        <w:ind w:firstLine="480" w:firstLineChars="200"/>
        <w:rPr>
          <w:rFonts w:ascii="宋体" w:hAnsi="宋体" w:eastAsia="宋体" w:cs="宋体"/>
          <w:sz w:val="24"/>
        </w:rPr>
      </w:pPr>
      <w:r>
        <w:rPr>
          <w:rFonts w:ascii="宋体" w:hAnsi="宋体" w:eastAsia="宋体" w:cs="宋体"/>
          <w:sz w:val="24"/>
        </w:rPr>
        <w:t>自本公告发布之日起</w:t>
      </w:r>
      <w:r>
        <w:rPr>
          <w:rFonts w:hint="eastAsia" w:ascii="宋体" w:hAnsi="宋体" w:eastAsia="宋体" w:cs="宋体"/>
          <w:sz w:val="24"/>
          <w:lang w:val="en-US" w:eastAsia="zh-CN"/>
        </w:rPr>
        <w:t>3</w:t>
      </w:r>
      <w:r>
        <w:rPr>
          <w:rFonts w:ascii="宋体" w:hAnsi="宋体" w:eastAsia="宋体" w:cs="宋体"/>
          <w:sz w:val="24"/>
        </w:rPr>
        <w:t>个工作日。</w:t>
      </w:r>
    </w:p>
    <w:p w14:paraId="4B5513FB">
      <w:pPr>
        <w:pStyle w:val="4"/>
        <w:spacing w:line="360" w:lineRule="auto"/>
        <w:jc w:val="left"/>
      </w:pPr>
      <w:bookmarkStart w:id="14" w:name="_Toc25409"/>
      <w:r>
        <w:rPr>
          <w:rFonts w:hint="eastAsia"/>
        </w:rPr>
        <w:t>六</w:t>
      </w:r>
      <w:r>
        <w:t>、其他补充事宜</w:t>
      </w:r>
      <w:bookmarkEnd w:id="14"/>
    </w:p>
    <w:p w14:paraId="19EC6DB0">
      <w:pPr>
        <w:spacing w:line="360" w:lineRule="auto"/>
        <w:ind w:firstLine="480" w:firstLineChars="200"/>
        <w:rPr>
          <w:rFonts w:ascii="宋体" w:hAnsi="宋体" w:eastAsia="宋体" w:cs="宋体"/>
          <w:sz w:val="24"/>
        </w:rPr>
      </w:pPr>
      <w:r>
        <w:rPr>
          <w:rFonts w:ascii="宋体" w:hAnsi="宋体" w:eastAsia="宋体" w:cs="宋体"/>
          <w:sz w:val="24"/>
        </w:rPr>
        <w:t>1、现场踏勘：采购人不统一组织现场查勘和答疑，供应商可自行联系采购人查勘</w:t>
      </w:r>
    </w:p>
    <w:p w14:paraId="1E38B9D4">
      <w:pPr>
        <w:spacing w:line="360" w:lineRule="auto"/>
        <w:rPr>
          <w:rFonts w:ascii="宋体" w:hAnsi="宋体" w:eastAsia="宋体" w:cs="宋体"/>
          <w:sz w:val="24"/>
        </w:rPr>
      </w:pPr>
      <w:r>
        <w:rPr>
          <w:rFonts w:ascii="宋体" w:hAnsi="宋体" w:eastAsia="宋体" w:cs="宋体"/>
          <w:sz w:val="24"/>
        </w:rPr>
        <w:t>和答疑。</w:t>
      </w:r>
    </w:p>
    <w:p w14:paraId="013DB909">
      <w:pPr>
        <w:spacing w:line="360" w:lineRule="auto"/>
        <w:ind w:firstLine="480" w:firstLineChars="200"/>
        <w:rPr>
          <w:rFonts w:ascii="宋体" w:hAnsi="宋体" w:eastAsia="宋体" w:cs="宋体"/>
          <w:sz w:val="24"/>
        </w:rPr>
      </w:pPr>
      <w:r>
        <w:rPr>
          <w:rFonts w:hint="eastAsia" w:ascii="宋体" w:hAnsi="宋体" w:eastAsia="宋体" w:cs="宋体"/>
          <w:sz w:val="24"/>
        </w:rPr>
        <w:t>2、</w:t>
      </w:r>
      <w:r>
        <w:rPr>
          <w:rFonts w:ascii="宋体" w:hAnsi="宋体" w:eastAsia="宋体" w:cs="宋体"/>
          <w:sz w:val="24"/>
        </w:rPr>
        <w:t>本项目无需缴纳磋商保证金。</w:t>
      </w:r>
    </w:p>
    <w:p w14:paraId="37F03888">
      <w:pPr>
        <w:spacing w:line="360" w:lineRule="auto"/>
        <w:ind w:firstLine="480" w:firstLineChars="200"/>
        <w:rPr>
          <w:rFonts w:ascii="宋体" w:hAnsi="宋体" w:eastAsia="宋体" w:cs="宋体"/>
          <w:sz w:val="24"/>
        </w:rPr>
      </w:pPr>
      <w:r>
        <w:rPr>
          <w:rFonts w:hint="eastAsia" w:ascii="宋体" w:hAnsi="宋体" w:eastAsia="宋体" w:cs="宋体"/>
          <w:sz w:val="24"/>
        </w:rPr>
        <w:t>3、</w:t>
      </w:r>
      <w:r>
        <w:rPr>
          <w:rFonts w:ascii="宋体" w:hAnsi="宋体" w:eastAsia="宋体" w:cs="宋体"/>
          <w:sz w:val="24"/>
        </w:rPr>
        <w:t>项目支持和适用支持中小微企业（工信部联企业[2011]300 号）、财库</w:t>
      </w:r>
      <w:r>
        <w:rPr>
          <w:rFonts w:hint="eastAsia" w:ascii="宋体" w:hAnsi="宋体" w:eastAsia="宋体" w:cs="宋体"/>
          <w:sz w:val="24"/>
        </w:rPr>
        <w:t>[</w:t>
      </w:r>
      <w:r>
        <w:rPr>
          <w:rFonts w:ascii="宋体" w:hAnsi="宋体" w:eastAsia="宋体" w:cs="宋体"/>
          <w:sz w:val="24"/>
        </w:rPr>
        <w:t>2020</w:t>
      </w:r>
      <w:r>
        <w:rPr>
          <w:rFonts w:hint="eastAsia" w:ascii="宋体" w:hAnsi="宋体" w:eastAsia="宋体" w:cs="宋体"/>
          <w:sz w:val="24"/>
        </w:rPr>
        <w:t>]</w:t>
      </w:r>
      <w:r>
        <w:rPr>
          <w:rFonts w:ascii="宋体" w:hAnsi="宋体" w:eastAsia="宋体" w:cs="宋体"/>
          <w:sz w:val="24"/>
        </w:rPr>
        <w:t>46 号、苏财购</w:t>
      </w:r>
      <w:r>
        <w:rPr>
          <w:rFonts w:hint="eastAsia" w:ascii="宋体" w:hAnsi="宋体" w:eastAsia="宋体" w:cs="宋体"/>
          <w:sz w:val="24"/>
        </w:rPr>
        <w:t>[</w:t>
      </w:r>
      <w:r>
        <w:rPr>
          <w:rFonts w:ascii="宋体" w:hAnsi="宋体" w:eastAsia="宋体" w:cs="宋体"/>
          <w:sz w:val="24"/>
        </w:rPr>
        <w:t>2021</w:t>
      </w:r>
      <w:r>
        <w:rPr>
          <w:rFonts w:hint="eastAsia" w:ascii="宋体" w:hAnsi="宋体" w:eastAsia="宋体" w:cs="宋体"/>
          <w:sz w:val="24"/>
        </w:rPr>
        <w:t>]</w:t>
      </w:r>
      <w:r>
        <w:rPr>
          <w:rFonts w:ascii="宋体" w:hAnsi="宋体" w:eastAsia="宋体" w:cs="宋体"/>
          <w:sz w:val="24"/>
        </w:rPr>
        <w:t>34 号；支持监狱企业（财库〔2014〕68 号）；促进残疾人就业（财库〔2017〕141 号）的政策。</w:t>
      </w:r>
    </w:p>
    <w:p w14:paraId="15B57DF8">
      <w:pPr>
        <w:spacing w:line="360" w:lineRule="auto"/>
        <w:ind w:firstLine="480"/>
        <w:rPr>
          <w:rFonts w:ascii="宋体" w:hAnsi="宋体"/>
          <w:sz w:val="24"/>
          <w:szCs w:val="28"/>
        </w:rPr>
      </w:pPr>
      <w:r>
        <w:rPr>
          <w:rFonts w:hint="eastAsia" w:ascii="宋体" w:hAnsi="宋体" w:cs="宋体"/>
          <w:sz w:val="24"/>
        </w:rPr>
        <w:t>4.</w:t>
      </w:r>
      <w:r>
        <w:rPr>
          <w:rFonts w:hint="eastAsia" w:ascii="宋体" w:hAnsi="宋体"/>
          <w:sz w:val="24"/>
          <w:szCs w:val="28"/>
        </w:rPr>
        <w:t>“CA数字证书”的获取</w:t>
      </w:r>
    </w:p>
    <w:p w14:paraId="6EAE59C0">
      <w:pPr>
        <w:spacing w:line="360" w:lineRule="auto"/>
        <w:ind w:firstLine="480" w:firstLineChars="200"/>
        <w:rPr>
          <w:rFonts w:ascii="宋体" w:hAnsi="宋体" w:eastAsia="宋体" w:cs="宋体"/>
          <w:sz w:val="24"/>
        </w:rPr>
      </w:pPr>
      <w:r>
        <w:rPr>
          <w:rFonts w:hint="eastAsia" w:ascii="宋体" w:hAnsi="宋体" w:eastAsia="宋体" w:cs="宋体"/>
          <w:sz w:val="24"/>
        </w:rPr>
        <w:t>投标人需办理CA锁，“苏采云”系统目前仅支持“苏采云”系统下的政务CA（意源CA）、方正签章，省内各地区办理的“苏采云”系统下的政务CA（意源CA）、方正签章全省通用。（办理指南网址：</w:t>
      </w:r>
      <w:r>
        <w:fldChar w:fldCharType="begin"/>
      </w:r>
      <w:r>
        <w:instrText xml:space="preserve"> HYPERLINK "http://jsxcmm.com/help/help.html" </w:instrText>
      </w:r>
      <w:r>
        <w:fldChar w:fldCharType="separate"/>
      </w:r>
      <w:r>
        <w:rPr>
          <w:rFonts w:ascii="宋体" w:hAnsi="宋体" w:eastAsia="宋体" w:cs="宋体"/>
          <w:sz w:val="24"/>
        </w:rPr>
        <w:t>http://jsxcmm.com/help/help.html</w:t>
      </w:r>
      <w:r>
        <w:rPr>
          <w:rFonts w:ascii="宋体" w:hAnsi="宋体" w:eastAsia="宋体" w:cs="宋体"/>
          <w:sz w:val="24"/>
        </w:rPr>
        <w:fldChar w:fldCharType="end"/>
      </w:r>
      <w:r>
        <w:rPr>
          <w:rFonts w:hint="eastAsia" w:ascii="宋体" w:hAnsi="宋体" w:eastAsia="宋体" w:cs="宋体"/>
          <w:sz w:val="24"/>
        </w:rPr>
        <w:t>）</w:t>
      </w:r>
    </w:p>
    <w:p w14:paraId="31B5FF9B">
      <w:pPr>
        <w:spacing w:line="360" w:lineRule="auto"/>
        <w:ind w:firstLine="480" w:firstLineChars="200"/>
        <w:rPr>
          <w:rFonts w:hint="eastAsia" w:ascii="宋体" w:hAnsi="宋体" w:eastAsia="宋体" w:cs="宋体"/>
          <w:sz w:val="24"/>
        </w:rPr>
      </w:pPr>
      <w:r>
        <w:rPr>
          <w:rFonts w:hint="eastAsia" w:ascii="宋体" w:hAnsi="宋体" w:eastAsia="宋体" w:cs="宋体"/>
          <w:sz w:val="24"/>
        </w:rPr>
        <w:t>“苏采云”系统供应商操作指南详见江苏省政府采购网—办事指南—资料下载《江苏省政府采购管理交易系统 (苏采云)供应商操作指南》。</w:t>
      </w:r>
    </w:p>
    <w:p w14:paraId="71DB0CF1">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5.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p>
    <w:p w14:paraId="7297B82D">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在政府采购资格审查环节，供应商只需提供书面《南京市政府采购供应商信用记录表暨信用承诺书》，即可替代以下证明材料：</w:t>
      </w:r>
    </w:p>
    <w:p w14:paraId="0CACDBDA">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（1）具有独立承担民事责任的能力；</w:t>
      </w:r>
    </w:p>
    <w:p w14:paraId="2F93B23C">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（2）具有良好的商业信誉和健全的财务会计制度；</w:t>
      </w:r>
    </w:p>
    <w:p w14:paraId="2E4E3FC3">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（3）具有履行合同所必须的设备和专业技术能力；</w:t>
      </w:r>
    </w:p>
    <w:p w14:paraId="6241C737">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（4）有依法缴纳税收和社会保障资金的良好记录；</w:t>
      </w:r>
    </w:p>
    <w:p w14:paraId="353BBD60">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（5）参加政府采购活动前三年内，在经营活动中没有重大违法记录；</w:t>
      </w:r>
    </w:p>
    <w:p w14:paraId="3F5F9B93">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（6）符合法律、行政法规和采购文件规定的其他条件。</w:t>
      </w:r>
    </w:p>
    <w:p w14:paraId="008D7D5D">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供应商在中标（成交）后，应按采购文件要求，将上述由信用承诺书替代的证明材料提交采购人或采购代理机构核验。经核验无误后，由采购人或采购代理机构发出中标（成交）通知书。</w:t>
      </w:r>
    </w:p>
    <w:p w14:paraId="1FDECACA">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供应商涉及以下情形的，不适用信用承诺：</w:t>
      </w:r>
    </w:p>
    <w:p w14:paraId="2E25198D">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（1）供应商被列入严重失信主体名单；</w:t>
      </w:r>
    </w:p>
    <w:p w14:paraId="28793469">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（2）被相关监管部门作出行政处罚且尚在处罚有效期内；</w:t>
      </w:r>
    </w:p>
    <w:p w14:paraId="4FF9FB04">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（3）其他法律、行政法规规定的不适用信用承诺的情形。</w:t>
      </w:r>
    </w:p>
    <w:p w14:paraId="2B294F49">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供应商对信用承诺内容的真实性、合法性、有效性负责。如作出虚假信用承诺，视同为“提供虚假材料谋取中标、成交”的违法行为。</w:t>
      </w:r>
    </w:p>
    <w:p w14:paraId="2E1BA3AB">
      <w:pPr>
        <w:pStyle w:val="4"/>
        <w:spacing w:line="360" w:lineRule="auto"/>
        <w:jc w:val="left"/>
      </w:pPr>
      <w:bookmarkStart w:id="15" w:name="_Toc1483"/>
      <w:r>
        <w:rPr>
          <w:rFonts w:hint="eastAsia"/>
        </w:rPr>
        <w:t>七</w:t>
      </w:r>
      <w:r>
        <w:t>、对本次磋商提出询问，请按以下方式联系。</w:t>
      </w:r>
      <w:bookmarkEnd w:id="15"/>
    </w:p>
    <w:p w14:paraId="043FA454">
      <w:pPr>
        <w:spacing w:line="360" w:lineRule="auto"/>
        <w:ind w:firstLine="480" w:firstLineChars="200"/>
        <w:outlineLvl w:val="2"/>
        <w:rPr>
          <w:rFonts w:ascii="宋体" w:hAnsi="宋体" w:eastAsia="宋体" w:cs="宋体"/>
          <w:sz w:val="24"/>
        </w:rPr>
      </w:pPr>
      <w:bookmarkStart w:id="16" w:name="_Toc30014"/>
      <w:r>
        <w:rPr>
          <w:rFonts w:ascii="宋体" w:hAnsi="宋体" w:eastAsia="宋体" w:cs="宋体"/>
          <w:sz w:val="24"/>
        </w:rPr>
        <w:t>1.采购人信息</w:t>
      </w:r>
      <w:bookmarkEnd w:id="16"/>
    </w:p>
    <w:p w14:paraId="7B8C1A47">
      <w:pPr>
        <w:spacing w:line="360" w:lineRule="auto"/>
        <w:ind w:firstLine="480" w:firstLineChars="200"/>
        <w:rPr>
          <w:rFonts w:ascii="宋体" w:hAnsi="宋体" w:eastAsia="宋体" w:cs="宋体"/>
          <w:sz w:val="24"/>
        </w:rPr>
      </w:pPr>
      <w:r>
        <w:rPr>
          <w:rFonts w:hint="eastAsia" w:ascii="宋体" w:hAnsi="宋体" w:eastAsia="宋体" w:cs="宋体"/>
          <w:sz w:val="24"/>
        </w:rPr>
        <w:t>名 称：南京市栖霞区长江堤防管理所</w:t>
      </w:r>
    </w:p>
    <w:p w14:paraId="2C5B91FC">
      <w:pPr>
        <w:spacing w:line="360" w:lineRule="auto"/>
        <w:ind w:firstLine="480" w:firstLineChars="200"/>
        <w:rPr>
          <w:rFonts w:ascii="宋体" w:hAnsi="宋体" w:eastAsia="宋体" w:cs="宋体"/>
          <w:sz w:val="24"/>
        </w:rPr>
      </w:pPr>
      <w:r>
        <w:rPr>
          <w:rFonts w:hint="eastAsia" w:ascii="宋体" w:hAnsi="宋体" w:eastAsia="宋体" w:cs="宋体"/>
          <w:sz w:val="24"/>
        </w:rPr>
        <w:t>地 址：南京市栖霞区文苑路118号</w:t>
      </w:r>
    </w:p>
    <w:p w14:paraId="126B332B">
      <w:pPr>
        <w:spacing w:line="360" w:lineRule="auto"/>
        <w:ind w:firstLine="480" w:firstLineChars="200"/>
        <w:rPr>
          <w:rFonts w:ascii="宋体" w:hAnsi="宋体" w:eastAsia="宋体" w:cs="宋体"/>
          <w:sz w:val="24"/>
        </w:rPr>
      </w:pPr>
      <w:r>
        <w:rPr>
          <w:rFonts w:hint="eastAsia" w:ascii="宋体" w:hAnsi="宋体" w:eastAsia="宋体" w:cs="宋体"/>
          <w:sz w:val="24"/>
        </w:rPr>
        <w:t xml:space="preserve">联系方式： </w:t>
      </w:r>
      <w:r>
        <w:rPr>
          <w:rFonts w:hint="eastAsia" w:ascii="宋体" w:hAnsi="宋体" w:eastAsia="宋体" w:cs="宋体"/>
          <w:sz w:val="24"/>
          <w:lang w:val="en-US" w:eastAsia="zh-CN"/>
        </w:rPr>
        <w:t>王科</w:t>
      </w:r>
      <w:r>
        <w:rPr>
          <w:rFonts w:hint="eastAsia" w:ascii="宋体" w:hAnsi="宋体" w:eastAsia="宋体" w:cs="宋体"/>
          <w:sz w:val="24"/>
        </w:rPr>
        <w:t xml:space="preserve">    025-85561703   </w:t>
      </w:r>
    </w:p>
    <w:p w14:paraId="6FC2E166">
      <w:pPr>
        <w:spacing w:line="360" w:lineRule="auto"/>
        <w:ind w:firstLine="480" w:firstLineChars="200"/>
        <w:rPr>
          <w:rFonts w:ascii="宋体" w:hAnsi="宋体" w:eastAsia="宋体" w:cs="宋体"/>
          <w:sz w:val="24"/>
        </w:rPr>
      </w:pPr>
      <w:r>
        <w:rPr>
          <w:rFonts w:ascii="宋体" w:hAnsi="宋体" w:eastAsia="宋体" w:cs="宋体"/>
          <w:sz w:val="24"/>
        </w:rPr>
        <w:t>2.采购代理机构信息</w:t>
      </w:r>
    </w:p>
    <w:p w14:paraId="410EA0EA">
      <w:pPr>
        <w:spacing w:line="360" w:lineRule="auto"/>
        <w:ind w:firstLine="480" w:firstLineChars="200"/>
        <w:rPr>
          <w:rFonts w:hint="eastAsia" w:ascii="宋体" w:hAnsi="宋体" w:eastAsia="宋体" w:cs="宋体"/>
          <w:sz w:val="24"/>
          <w:lang w:eastAsia="zh-CN"/>
        </w:rPr>
      </w:pPr>
      <w:r>
        <w:rPr>
          <w:rFonts w:ascii="宋体" w:hAnsi="宋体" w:eastAsia="宋体" w:cs="宋体"/>
          <w:sz w:val="24"/>
        </w:rPr>
        <w:t>名称：</w:t>
      </w:r>
      <w:r>
        <w:rPr>
          <w:rFonts w:hint="eastAsia" w:ascii="宋体" w:hAnsi="宋体" w:eastAsia="宋体" w:cs="宋体"/>
          <w:sz w:val="24"/>
          <w:lang w:eastAsia="zh-CN"/>
        </w:rPr>
        <w:t>江苏顺天工程项目管理咨询有限公司</w:t>
      </w:r>
    </w:p>
    <w:p w14:paraId="23702509">
      <w:pPr>
        <w:spacing w:line="360" w:lineRule="auto"/>
        <w:ind w:firstLine="480" w:firstLineChars="200"/>
        <w:rPr>
          <w:rFonts w:hint="eastAsia" w:ascii="宋体" w:hAnsi="宋体" w:eastAsia="宋体" w:cs="宋体"/>
          <w:sz w:val="24"/>
          <w:lang w:eastAsia="zh-CN"/>
        </w:rPr>
      </w:pPr>
      <w:r>
        <w:rPr>
          <w:rFonts w:ascii="宋体" w:hAnsi="宋体" w:eastAsia="宋体" w:cs="宋体"/>
          <w:sz w:val="24"/>
        </w:rPr>
        <w:t>地址：</w:t>
      </w:r>
      <w:r>
        <w:rPr>
          <w:rFonts w:hint="eastAsia" w:ascii="宋体" w:hAnsi="宋体" w:eastAsia="宋体" w:cs="宋体"/>
          <w:sz w:val="24"/>
          <w:lang w:eastAsia="zh-CN"/>
        </w:rPr>
        <w:t>镇江市京口区谷阳路88号东郡华庭16幢6层</w:t>
      </w:r>
    </w:p>
    <w:p w14:paraId="2A27A696">
      <w:pPr>
        <w:pStyle w:val="14"/>
        <w:shd w:val="clear" w:color="auto" w:fill="FFFFFF"/>
        <w:spacing w:line="460" w:lineRule="atLeast"/>
        <w:ind w:firstLine="480" w:firstLineChars="200"/>
        <w:rPr>
          <w:rFonts w:ascii="宋体" w:hAnsi="宋体" w:eastAsia="宋体" w:cs="宋体"/>
        </w:rPr>
      </w:pPr>
      <w:r>
        <w:rPr>
          <w:rFonts w:ascii="宋体" w:hAnsi="宋体" w:eastAsia="宋体" w:cs="宋体"/>
        </w:rPr>
        <w:t>联系方式：</w:t>
      </w:r>
      <w:r>
        <w:rPr>
          <w:rFonts w:hint="eastAsia" w:ascii="宋体" w:hAnsi="宋体" w:eastAsia="宋体" w:cs="宋体"/>
          <w:lang w:val="en-US" w:eastAsia="zh-CN"/>
        </w:rPr>
        <w:t>张工</w:t>
      </w:r>
      <w:r>
        <w:rPr>
          <w:rFonts w:hint="eastAsia" w:ascii="宋体" w:hAnsi="宋体" w:eastAsia="宋体" w:cs="宋体"/>
          <w:kern w:val="2"/>
          <w:sz w:val="24"/>
          <w:szCs w:val="24"/>
          <w:lang w:val="en-US" w:eastAsia="zh-CN" w:bidi="ar-SA"/>
        </w:rPr>
        <w:t xml:space="preserve"> 15240298867</w:t>
      </w:r>
    </w:p>
    <w:p w14:paraId="43ED3A8F">
      <w:pPr>
        <w:spacing w:line="360" w:lineRule="auto"/>
        <w:ind w:firstLine="480" w:firstLineChars="200"/>
        <w:rPr>
          <w:rFonts w:ascii="宋体" w:hAnsi="宋体" w:eastAsia="宋体" w:cs="宋体"/>
          <w:sz w:val="24"/>
        </w:rPr>
      </w:pPr>
      <w:r>
        <w:rPr>
          <w:rFonts w:ascii="宋体" w:hAnsi="宋体" w:eastAsia="宋体" w:cs="宋体"/>
          <w:sz w:val="24"/>
        </w:rPr>
        <w:t>3.项目联系方式</w:t>
      </w:r>
    </w:p>
    <w:p w14:paraId="7EEC6327">
      <w:pPr>
        <w:spacing w:line="360" w:lineRule="auto"/>
        <w:ind w:firstLine="480" w:firstLineChars="200"/>
        <w:rPr>
          <w:rFonts w:ascii="宋体" w:hAnsi="宋体" w:eastAsia="宋体" w:cs="宋体"/>
          <w:sz w:val="24"/>
        </w:rPr>
      </w:pPr>
      <w:r>
        <w:rPr>
          <w:rFonts w:ascii="宋体" w:hAnsi="宋体" w:eastAsia="宋体" w:cs="宋体"/>
          <w:sz w:val="24"/>
        </w:rPr>
        <w:t>项目联系人：</w:t>
      </w:r>
      <w:r>
        <w:rPr>
          <w:rFonts w:hint="eastAsia" w:ascii="宋体" w:hAnsi="宋体" w:eastAsia="宋体" w:cs="宋体"/>
          <w:lang w:val="en-US" w:eastAsia="zh-CN"/>
        </w:rPr>
        <w:t>张工</w:t>
      </w:r>
    </w:p>
    <w:p w14:paraId="4DA4BBE3">
      <w:pPr>
        <w:spacing w:line="360" w:lineRule="auto"/>
        <w:ind w:firstLine="480" w:firstLineChars="200"/>
        <w:rPr>
          <w:rFonts w:hint="eastAsia" w:ascii="宋体" w:hAnsi="宋体" w:eastAsia="宋体" w:cs="宋体"/>
          <w:sz w:val="24"/>
          <w:lang w:eastAsia="zh-CN"/>
        </w:rPr>
      </w:pPr>
      <w:r>
        <w:rPr>
          <w:rFonts w:ascii="宋体" w:hAnsi="宋体" w:eastAsia="宋体" w:cs="宋体"/>
          <w:sz w:val="24"/>
        </w:rPr>
        <w:t>电话：</w:t>
      </w:r>
      <w:r>
        <w:rPr>
          <w:rFonts w:hint="eastAsia" w:ascii="宋体" w:hAnsi="宋体" w:eastAsia="宋体" w:cs="宋体"/>
          <w:sz w:val="24"/>
          <w:lang w:eastAsia="zh-CN"/>
        </w:rPr>
        <w:t>15240298867</w:t>
      </w:r>
    </w:p>
    <w:bookmarkEnd w:id="3"/>
    <w:p w14:paraId="43C8E2E2">
      <w:r>
        <w:rPr>
          <w:rFonts w:hint="eastAsia"/>
        </w:rPr>
        <w:br w:type="page"/>
      </w:r>
    </w:p>
    <w:p w14:paraId="0CB4D5C4">
      <w:pPr>
        <w:pStyle w:val="3"/>
        <w:spacing w:line="360" w:lineRule="auto"/>
        <w:jc w:val="center"/>
      </w:pPr>
      <w:bookmarkStart w:id="17" w:name="_Toc13023"/>
      <w:r>
        <w:rPr>
          <w:rFonts w:hint="eastAsia"/>
        </w:rPr>
        <w:t>第二部分供应商须知</w:t>
      </w:r>
      <w:bookmarkEnd w:id="17"/>
    </w:p>
    <w:p w14:paraId="107975A1">
      <w:pPr>
        <w:pStyle w:val="4"/>
        <w:spacing w:before="405" w:beforeLines="130" w:after="405" w:afterLines="130" w:line="360" w:lineRule="auto"/>
        <w:jc w:val="center"/>
      </w:pPr>
      <w:bookmarkStart w:id="18" w:name="_Toc25219"/>
      <w:r>
        <w:t>一、总则</w:t>
      </w:r>
      <w:bookmarkEnd w:id="18"/>
    </w:p>
    <w:p w14:paraId="1EA26886">
      <w:pPr>
        <w:pStyle w:val="5"/>
        <w:spacing w:line="360" w:lineRule="auto"/>
      </w:pPr>
      <w:bookmarkStart w:id="19" w:name="_Toc13488"/>
      <w:r>
        <w:t>1.适用范围</w:t>
      </w:r>
      <w:bookmarkEnd w:id="19"/>
    </w:p>
    <w:p w14:paraId="61169345">
      <w:pPr>
        <w:spacing w:line="360" w:lineRule="auto"/>
        <w:ind w:firstLine="480" w:firstLineChars="200"/>
        <w:jc w:val="left"/>
        <w:rPr>
          <w:rFonts w:ascii="宋体" w:hAnsi="宋体" w:eastAsia="宋体" w:cs="宋体"/>
          <w:sz w:val="24"/>
        </w:rPr>
      </w:pPr>
      <w:r>
        <w:rPr>
          <w:rFonts w:ascii="宋体" w:hAnsi="宋体" w:eastAsia="宋体" w:cs="宋体"/>
          <w:sz w:val="24"/>
        </w:rPr>
        <w:t>1.1本磋商文件仅适用于</w:t>
      </w:r>
      <w:r>
        <w:rPr>
          <w:rFonts w:hint="eastAsia" w:ascii="Times New Roman" w:hAnsi="Times New Roman" w:eastAsia="宋体" w:cs="Times New Roman"/>
          <w:sz w:val="24"/>
          <w:lang w:eastAsia="zh-CN"/>
        </w:rPr>
        <w:t>栖霞区北十里长沟东支及百水河流域排水防涝综合整治工程代建管理服务</w:t>
      </w:r>
      <w:r>
        <w:rPr>
          <w:rFonts w:ascii="宋体" w:hAnsi="宋体" w:eastAsia="宋体" w:cs="宋体"/>
          <w:sz w:val="24"/>
        </w:rPr>
        <w:t>项目。</w:t>
      </w:r>
    </w:p>
    <w:p w14:paraId="7766A0A8">
      <w:pPr>
        <w:pStyle w:val="5"/>
        <w:spacing w:line="360" w:lineRule="auto"/>
        <w:rPr>
          <w:rFonts w:ascii="宋体" w:hAnsi="宋体" w:eastAsia="宋体" w:cs="宋体"/>
          <w:sz w:val="24"/>
        </w:rPr>
      </w:pPr>
      <w:bookmarkStart w:id="20" w:name="_Toc2759"/>
      <w:r>
        <w:t>2.定义</w:t>
      </w:r>
      <w:bookmarkEnd w:id="20"/>
    </w:p>
    <w:p w14:paraId="372E3841">
      <w:pPr>
        <w:spacing w:line="360" w:lineRule="auto"/>
        <w:ind w:firstLine="480" w:firstLineChars="200"/>
        <w:jc w:val="left"/>
        <w:rPr>
          <w:rFonts w:ascii="宋体" w:hAnsi="宋体" w:eastAsia="宋体" w:cs="宋体"/>
          <w:sz w:val="24"/>
        </w:rPr>
      </w:pPr>
      <w:r>
        <w:rPr>
          <w:rFonts w:ascii="宋体" w:hAnsi="宋体" w:eastAsia="宋体" w:cs="宋体"/>
          <w:sz w:val="24"/>
        </w:rPr>
        <w:t>磋商文件中下列术语应解释为：</w:t>
      </w:r>
    </w:p>
    <w:p w14:paraId="0330ECC2">
      <w:pPr>
        <w:spacing w:line="360" w:lineRule="auto"/>
        <w:ind w:firstLine="480" w:firstLineChars="200"/>
        <w:jc w:val="left"/>
        <w:rPr>
          <w:rFonts w:ascii="宋体" w:hAnsi="宋体" w:eastAsia="宋体" w:cs="宋体"/>
          <w:sz w:val="24"/>
        </w:rPr>
      </w:pPr>
      <w:r>
        <w:rPr>
          <w:rFonts w:ascii="宋体" w:hAnsi="宋体" w:eastAsia="宋体" w:cs="宋体"/>
          <w:sz w:val="24"/>
        </w:rPr>
        <w:t>2.1“磋商组织方”系指采购代理机构或采购单位，即：</w:t>
      </w:r>
      <w:r>
        <w:rPr>
          <w:rFonts w:hint="eastAsia" w:ascii="Times New Roman" w:hAnsi="Times New Roman" w:eastAsia="宋体" w:cs="Times New Roman"/>
          <w:sz w:val="24"/>
          <w:lang w:eastAsia="zh-CN"/>
        </w:rPr>
        <w:t>江苏顺天工程项目管理咨询有限公司</w:t>
      </w:r>
      <w:r>
        <w:rPr>
          <w:rFonts w:ascii="宋体" w:hAnsi="宋体" w:eastAsia="宋体" w:cs="宋体"/>
          <w:sz w:val="24"/>
        </w:rPr>
        <w:t>。</w:t>
      </w:r>
    </w:p>
    <w:p w14:paraId="06F78B79">
      <w:pPr>
        <w:spacing w:line="360" w:lineRule="auto"/>
        <w:ind w:firstLine="480" w:firstLineChars="200"/>
        <w:jc w:val="left"/>
        <w:rPr>
          <w:rFonts w:ascii="宋体" w:hAnsi="宋体" w:eastAsia="宋体" w:cs="宋体"/>
          <w:sz w:val="24"/>
        </w:rPr>
      </w:pPr>
      <w:r>
        <w:rPr>
          <w:rFonts w:ascii="宋体" w:hAnsi="宋体" w:eastAsia="宋体" w:cs="宋体"/>
          <w:sz w:val="24"/>
        </w:rPr>
        <w:t>2.2“采购人”系指依法进行政府采购的国家机关、事业单位、团体组织，即：</w:t>
      </w:r>
      <w:r>
        <w:rPr>
          <w:rFonts w:hint="eastAsia" w:ascii="Times New Roman" w:hAnsi="Times New Roman" w:eastAsia="宋体" w:cs="Times New Roman"/>
          <w:sz w:val="24"/>
          <w:lang w:eastAsia="zh-CN"/>
        </w:rPr>
        <w:t>南京市栖霞区长江堤防管理所</w:t>
      </w:r>
      <w:r>
        <w:rPr>
          <w:rFonts w:ascii="宋体" w:hAnsi="宋体" w:eastAsia="宋体" w:cs="宋体"/>
          <w:sz w:val="24"/>
        </w:rPr>
        <w:t>。</w:t>
      </w:r>
    </w:p>
    <w:p w14:paraId="61AE4EE4">
      <w:pPr>
        <w:spacing w:line="360" w:lineRule="auto"/>
        <w:ind w:firstLine="480" w:firstLineChars="200"/>
        <w:jc w:val="left"/>
        <w:rPr>
          <w:rFonts w:ascii="宋体" w:hAnsi="宋体" w:eastAsia="宋体" w:cs="宋体"/>
          <w:sz w:val="24"/>
        </w:rPr>
      </w:pPr>
      <w:r>
        <w:rPr>
          <w:rFonts w:ascii="宋体" w:hAnsi="宋体" w:eastAsia="宋体" w:cs="宋体"/>
          <w:sz w:val="24"/>
        </w:rPr>
        <w:t>2.3“供应商”系指向采购人提供货物、工程或者服务的法人、其他组织或者自然人。</w:t>
      </w:r>
    </w:p>
    <w:p w14:paraId="08F34B68">
      <w:pPr>
        <w:spacing w:line="360" w:lineRule="auto"/>
        <w:ind w:firstLine="480" w:firstLineChars="200"/>
        <w:jc w:val="left"/>
        <w:rPr>
          <w:rFonts w:ascii="宋体" w:hAnsi="宋体" w:eastAsia="宋体" w:cs="宋体"/>
          <w:sz w:val="24"/>
        </w:rPr>
      </w:pPr>
      <w:r>
        <w:rPr>
          <w:rFonts w:ascii="宋体" w:hAnsi="宋体" w:eastAsia="宋体" w:cs="宋体"/>
          <w:sz w:val="24"/>
        </w:rPr>
        <w:t>2.4“服务”系指本磋商文件所述采购标的，即</w:t>
      </w:r>
      <w:r>
        <w:rPr>
          <w:rFonts w:hint="eastAsia" w:ascii="Times New Roman" w:hAnsi="Times New Roman" w:eastAsia="宋体" w:cs="Times New Roman"/>
          <w:sz w:val="24"/>
          <w:lang w:eastAsia="zh-CN"/>
        </w:rPr>
        <w:t>栖霞区北十里长沟东支及百水河流域排水防涝综合整治工程代建管理服务</w:t>
      </w:r>
      <w:r>
        <w:rPr>
          <w:rFonts w:ascii="宋体" w:hAnsi="宋体" w:eastAsia="宋体" w:cs="宋体"/>
          <w:sz w:val="24"/>
        </w:rPr>
        <w:t>，亦包括磋商文件中特别描述的其它形式的服务。</w:t>
      </w:r>
    </w:p>
    <w:p w14:paraId="4147A145">
      <w:pPr>
        <w:pStyle w:val="5"/>
        <w:spacing w:line="360" w:lineRule="auto"/>
        <w:rPr>
          <w:rFonts w:ascii="宋体" w:hAnsi="宋体" w:eastAsia="宋体" w:cs="宋体"/>
          <w:sz w:val="24"/>
        </w:rPr>
      </w:pPr>
      <w:bookmarkStart w:id="21" w:name="_Toc4824"/>
      <w:r>
        <w:rPr>
          <w:rFonts w:ascii="Times New Roman" w:hAnsi="Times New Roman" w:cs="Times New Roman"/>
        </w:rPr>
        <w:t>3.本次采购方式</w:t>
      </w:r>
      <w:bookmarkEnd w:id="21"/>
    </w:p>
    <w:p w14:paraId="7402ADE7">
      <w:pPr>
        <w:spacing w:line="360" w:lineRule="auto"/>
        <w:ind w:firstLine="480" w:firstLineChars="200"/>
        <w:jc w:val="left"/>
        <w:rPr>
          <w:rFonts w:ascii="宋体" w:hAnsi="宋体" w:eastAsia="宋体" w:cs="宋体"/>
          <w:sz w:val="24"/>
        </w:rPr>
      </w:pPr>
      <w:r>
        <w:rPr>
          <w:rFonts w:ascii="宋体" w:hAnsi="宋体" w:eastAsia="宋体" w:cs="宋体"/>
          <w:sz w:val="24"/>
        </w:rPr>
        <w:t>3.1本次采购采取竞争性磋商采购方式：</w:t>
      </w:r>
      <w:r>
        <w:rPr>
          <w:rFonts w:ascii="宋体" w:hAnsi="宋体" w:eastAsia="宋体" w:cs="宋体"/>
          <w:color w:val="0000FF"/>
          <w:sz w:val="24"/>
        </w:rPr>
        <w:t>综合评分法</w:t>
      </w:r>
      <w:r>
        <w:rPr>
          <w:rFonts w:ascii="宋体" w:hAnsi="宋体" w:eastAsia="宋体" w:cs="宋体"/>
          <w:sz w:val="24"/>
        </w:rPr>
        <w:t>。</w:t>
      </w:r>
    </w:p>
    <w:p w14:paraId="25D66EF4">
      <w:pPr>
        <w:spacing w:line="360" w:lineRule="auto"/>
        <w:ind w:firstLine="480" w:firstLineChars="200"/>
        <w:jc w:val="left"/>
        <w:rPr>
          <w:rFonts w:ascii="宋体" w:hAnsi="宋体" w:eastAsia="宋体" w:cs="宋体"/>
          <w:sz w:val="24"/>
        </w:rPr>
      </w:pPr>
      <w:r>
        <w:rPr>
          <w:rFonts w:ascii="宋体" w:hAnsi="宋体" w:eastAsia="宋体" w:cs="宋体"/>
          <w:sz w:val="24"/>
        </w:rPr>
        <w:t>3.2是否接受进口产品：☑否</w:t>
      </w:r>
    </w:p>
    <w:p w14:paraId="2E6B602E">
      <w:pPr>
        <w:spacing w:line="360" w:lineRule="auto"/>
        <w:ind w:firstLine="480" w:firstLineChars="200"/>
        <w:jc w:val="left"/>
        <w:rPr>
          <w:rFonts w:ascii="宋体" w:hAnsi="宋体" w:eastAsia="宋体" w:cs="宋体"/>
          <w:sz w:val="24"/>
        </w:rPr>
      </w:pPr>
      <w:r>
        <w:rPr>
          <w:rFonts w:ascii="宋体" w:hAnsi="宋体" w:eastAsia="宋体" w:cs="宋体"/>
          <w:sz w:val="24"/>
        </w:rPr>
        <w:t>3.3本项目资格审查方式：☑资格后审</w:t>
      </w:r>
    </w:p>
    <w:p w14:paraId="380974E3">
      <w:pPr>
        <w:spacing w:line="360" w:lineRule="auto"/>
        <w:ind w:firstLine="480" w:firstLineChars="200"/>
        <w:jc w:val="left"/>
        <w:rPr>
          <w:rFonts w:ascii="宋体" w:hAnsi="宋体" w:eastAsia="宋体" w:cs="宋体"/>
          <w:sz w:val="24"/>
        </w:rPr>
      </w:pPr>
      <w:r>
        <w:rPr>
          <w:rFonts w:ascii="宋体" w:hAnsi="宋体" w:eastAsia="宋体" w:cs="宋体"/>
          <w:sz w:val="24"/>
        </w:rPr>
        <w:t>3.4本次采购确定的成交人数量：1名</w:t>
      </w:r>
    </w:p>
    <w:p w14:paraId="742C32A3">
      <w:pPr>
        <w:pStyle w:val="5"/>
        <w:spacing w:line="360" w:lineRule="auto"/>
        <w:rPr>
          <w:rFonts w:ascii="宋体" w:hAnsi="宋体" w:eastAsia="宋体" w:cs="宋体"/>
          <w:sz w:val="24"/>
        </w:rPr>
      </w:pPr>
      <w:bookmarkStart w:id="22" w:name="_Toc19224"/>
      <w:r>
        <w:rPr>
          <w:rFonts w:ascii="Times New Roman" w:hAnsi="Times New Roman" w:cs="Times New Roman"/>
        </w:rPr>
        <w:t>4.磋商费用</w:t>
      </w:r>
      <w:bookmarkEnd w:id="22"/>
    </w:p>
    <w:p w14:paraId="5E9F8F40">
      <w:pPr>
        <w:spacing w:line="360" w:lineRule="auto"/>
        <w:ind w:firstLine="480" w:firstLineChars="200"/>
        <w:jc w:val="left"/>
        <w:rPr>
          <w:rFonts w:ascii="宋体" w:hAnsi="宋体" w:eastAsia="宋体" w:cs="宋体"/>
          <w:color w:val="0000FF"/>
          <w:sz w:val="24"/>
        </w:rPr>
      </w:pPr>
      <w:r>
        <w:rPr>
          <w:rFonts w:ascii="宋体" w:hAnsi="宋体" w:eastAsia="宋体" w:cs="宋体"/>
          <w:color w:val="0000FF"/>
          <w:sz w:val="24"/>
        </w:rPr>
        <w:t>4.1供应商应自行承担所有与参加磋商有关的费用。</w:t>
      </w:r>
    </w:p>
    <w:p w14:paraId="015D23EA">
      <w:pPr>
        <w:spacing w:line="360" w:lineRule="auto"/>
        <w:ind w:firstLine="480" w:firstLineChars="200"/>
        <w:jc w:val="left"/>
        <w:rPr>
          <w:rFonts w:ascii="宋体" w:hAnsi="宋体" w:eastAsia="宋体" w:cs="宋体"/>
          <w:color w:val="0000FF"/>
          <w:sz w:val="24"/>
        </w:rPr>
      </w:pPr>
      <w:bookmarkStart w:id="23" w:name="EBa03e57766b9945f190ef39ac1142e3ed"/>
      <w:r>
        <w:rPr>
          <w:rFonts w:hint="eastAsia" w:ascii="宋体" w:hAnsi="宋体" w:eastAsia="宋体" w:cs="宋体"/>
          <w:color w:val="0000FF"/>
          <w:sz w:val="24"/>
        </w:rPr>
        <w:t>☑</w:t>
      </w:r>
      <w:bookmarkEnd w:id="23"/>
      <w:r>
        <w:rPr>
          <w:rFonts w:hint="eastAsia" w:ascii="宋体" w:hAnsi="宋体" w:eastAsia="宋体" w:cs="宋体"/>
          <w:color w:val="0000FF"/>
          <w:sz w:val="24"/>
        </w:rPr>
        <w:t>中标人需向代理机构缴纳</w:t>
      </w:r>
      <w:bookmarkStart w:id="24" w:name="EB48c20503de754ffc8a86078496abe33e"/>
      <w:bookmarkEnd w:id="24"/>
      <w:r>
        <w:rPr>
          <w:rFonts w:hint="eastAsia" w:ascii="宋体" w:hAnsi="宋体" w:eastAsia="宋体" w:cs="宋体"/>
          <w:color w:val="0000FF"/>
          <w:sz w:val="24"/>
        </w:rPr>
        <w:t>服务费。</w:t>
      </w:r>
    </w:p>
    <w:p w14:paraId="0497A97B">
      <w:pPr>
        <w:spacing w:line="360" w:lineRule="auto"/>
        <w:ind w:firstLine="480" w:firstLineChars="200"/>
        <w:jc w:val="left"/>
        <w:rPr>
          <w:rFonts w:hint="eastAsia" w:ascii="宋体" w:hAnsi="宋体" w:eastAsia="宋体" w:cs="宋体"/>
          <w:color w:val="0000FF"/>
          <w:sz w:val="24"/>
          <w:lang w:eastAsia="zh-CN"/>
        </w:rPr>
      </w:pPr>
      <w:r>
        <w:rPr>
          <w:rFonts w:hint="eastAsia" w:ascii="宋体" w:hAnsi="宋体" w:eastAsia="宋体" w:cs="宋体"/>
          <w:color w:val="0000FF"/>
          <w:sz w:val="24"/>
          <w:lang w:eastAsia="zh-CN"/>
        </w:rPr>
        <w:t>中标供应商按苏招协【2022】002号文的</w:t>
      </w:r>
      <w:r>
        <w:rPr>
          <w:rFonts w:hint="eastAsia" w:ascii="宋体" w:hAnsi="宋体" w:eastAsia="宋体" w:cs="宋体"/>
          <w:color w:val="0000FF"/>
          <w:sz w:val="24"/>
          <w:lang w:val="en-US" w:eastAsia="zh-CN"/>
        </w:rPr>
        <w:t>81</w:t>
      </w:r>
      <w:r>
        <w:rPr>
          <w:rFonts w:hint="eastAsia" w:ascii="宋体" w:hAnsi="宋体" w:eastAsia="宋体" w:cs="宋体"/>
          <w:color w:val="0000FF"/>
          <w:sz w:val="24"/>
          <w:lang w:eastAsia="zh-CN"/>
        </w:rPr>
        <w:t>%计算，向代理机构支付招标代理服务费。该项费用请供应商综合考虑在投标报价中，后期采购人不单独列支，必须在领取中标通知书前向代理机构支付招标代理服务费。</w:t>
      </w:r>
    </w:p>
    <w:p w14:paraId="7DEAF5F1">
      <w:pPr>
        <w:spacing w:line="360" w:lineRule="auto"/>
        <w:ind w:firstLine="480" w:firstLineChars="200"/>
        <w:jc w:val="left"/>
        <w:rPr>
          <w:rFonts w:ascii="宋体" w:hAnsi="宋体" w:eastAsia="宋体" w:cs="宋体"/>
          <w:color w:val="0000FF"/>
          <w:sz w:val="24"/>
        </w:rPr>
      </w:pPr>
      <w:r>
        <w:rPr>
          <w:rFonts w:hint="eastAsia" w:ascii="宋体" w:hAnsi="宋体" w:eastAsia="宋体" w:cs="宋体"/>
          <w:color w:val="0000FF"/>
          <w:sz w:val="24"/>
        </w:rPr>
        <w:t>招标代理费用收款信息（已获得总公司授权）：</w:t>
      </w:r>
    </w:p>
    <w:p w14:paraId="52C22687">
      <w:pPr>
        <w:spacing w:line="360" w:lineRule="auto"/>
        <w:ind w:firstLine="480" w:firstLineChars="200"/>
        <w:jc w:val="left"/>
        <w:rPr>
          <w:rFonts w:ascii="宋体" w:hAnsi="宋体" w:eastAsia="宋体" w:cs="宋体"/>
          <w:color w:val="0000FF"/>
          <w:sz w:val="24"/>
        </w:rPr>
      </w:pPr>
      <w:r>
        <w:rPr>
          <w:rFonts w:hint="eastAsia" w:ascii="宋体" w:hAnsi="宋体" w:eastAsia="宋体" w:cs="宋体"/>
          <w:color w:val="0000FF"/>
          <w:sz w:val="24"/>
        </w:rPr>
        <w:t>收款单位：江苏顺天工程项目管理咨询有限公司镇江分公司</w:t>
      </w:r>
    </w:p>
    <w:p w14:paraId="640451F1">
      <w:pPr>
        <w:spacing w:line="360" w:lineRule="auto"/>
        <w:ind w:firstLine="480" w:firstLineChars="200"/>
        <w:jc w:val="left"/>
        <w:rPr>
          <w:rFonts w:ascii="宋体" w:hAnsi="宋体" w:eastAsia="宋体" w:cs="宋体"/>
          <w:color w:val="0000FF"/>
          <w:sz w:val="24"/>
        </w:rPr>
      </w:pPr>
      <w:r>
        <w:rPr>
          <w:rFonts w:hint="eastAsia" w:ascii="宋体" w:hAnsi="宋体" w:eastAsia="宋体" w:cs="宋体"/>
          <w:color w:val="0000FF"/>
          <w:sz w:val="24"/>
        </w:rPr>
        <w:t>收款账号：1104065009200260943</w:t>
      </w:r>
    </w:p>
    <w:p w14:paraId="4709E50E">
      <w:pPr>
        <w:spacing w:line="360" w:lineRule="auto"/>
        <w:ind w:firstLine="480" w:firstLineChars="200"/>
        <w:jc w:val="left"/>
        <w:rPr>
          <w:rFonts w:ascii="宋体" w:hAnsi="宋体" w:eastAsia="宋体" w:cs="宋体"/>
          <w:color w:val="0000FF"/>
          <w:sz w:val="24"/>
        </w:rPr>
      </w:pPr>
      <w:r>
        <w:rPr>
          <w:rFonts w:hint="eastAsia" w:ascii="宋体" w:hAnsi="宋体" w:eastAsia="宋体" w:cs="宋体"/>
          <w:color w:val="0000FF"/>
          <w:sz w:val="24"/>
        </w:rPr>
        <w:t>开户银行：</w:t>
      </w:r>
      <w:bookmarkStart w:id="25" w:name="EB8e672765b2f94359b70d316fc0e9c5d1"/>
      <w:r>
        <w:rPr>
          <w:rFonts w:hint="eastAsia" w:ascii="宋体" w:hAnsi="宋体" w:eastAsia="宋体" w:cs="宋体"/>
          <w:color w:val="0000FF"/>
          <w:sz w:val="24"/>
        </w:rPr>
        <w:t>中国工商银行股份有限公司镇江科技新城支行</w:t>
      </w:r>
    </w:p>
    <w:bookmarkEnd w:id="25"/>
    <w:p w14:paraId="23D6765F">
      <w:pPr>
        <w:spacing w:line="360" w:lineRule="auto"/>
        <w:ind w:firstLine="480" w:firstLineChars="200"/>
        <w:jc w:val="left"/>
        <w:rPr>
          <w:rFonts w:ascii="宋体" w:hAnsi="宋体" w:eastAsia="宋体" w:cs="宋体"/>
          <w:color w:val="0000FF"/>
          <w:sz w:val="24"/>
        </w:rPr>
      </w:pPr>
      <w:r>
        <w:rPr>
          <w:rFonts w:ascii="宋体" w:hAnsi="宋体" w:eastAsia="宋体" w:cs="宋体"/>
          <w:color w:val="0000FF"/>
          <w:sz w:val="24"/>
        </w:rPr>
        <w:t>4.2不论磋商的结果如何，磋商组织方在任何情况下均无义务和责任承担上述费用。</w:t>
      </w:r>
    </w:p>
    <w:p w14:paraId="7587E73C">
      <w:pPr>
        <w:pStyle w:val="5"/>
        <w:spacing w:line="360" w:lineRule="auto"/>
        <w:rPr>
          <w:rFonts w:ascii="宋体" w:hAnsi="宋体" w:eastAsia="宋体" w:cs="宋体"/>
          <w:sz w:val="24"/>
        </w:rPr>
      </w:pPr>
      <w:bookmarkStart w:id="26" w:name="_Toc8885"/>
      <w:r>
        <w:rPr>
          <w:rFonts w:ascii="Times New Roman" w:hAnsi="Times New Roman" w:cs="Times New Roman"/>
        </w:rPr>
        <w:t>5.政策功能</w:t>
      </w:r>
      <w:bookmarkEnd w:id="26"/>
    </w:p>
    <w:p w14:paraId="79BEE8FF">
      <w:pPr>
        <w:pStyle w:val="6"/>
        <w:spacing w:line="360" w:lineRule="auto"/>
        <w:ind w:firstLine="480"/>
        <w:rPr>
          <w:rFonts w:ascii="宋体" w:hAnsi="宋体" w:eastAsia="宋体" w:cs="宋体"/>
          <w:sz w:val="24"/>
        </w:rPr>
      </w:pPr>
      <w:r>
        <w:rPr>
          <w:rFonts w:hint="eastAsia" w:ascii="宋体" w:hAnsi="宋体" w:eastAsia="宋体" w:cs="宋体"/>
          <w:sz w:val="24"/>
        </w:rPr>
        <w:t>5.1支持中小企业发展</w:t>
      </w:r>
    </w:p>
    <w:p w14:paraId="2BFD76C0">
      <w:pPr>
        <w:pStyle w:val="6"/>
        <w:spacing w:line="360" w:lineRule="auto"/>
        <w:ind w:firstLine="480"/>
        <w:rPr>
          <w:rFonts w:ascii="宋体" w:hAnsi="宋体" w:eastAsia="宋体" w:cs="宋体"/>
          <w:sz w:val="24"/>
        </w:rPr>
      </w:pPr>
      <w:r>
        <w:rPr>
          <w:rFonts w:hint="eastAsia" w:ascii="宋体" w:hAnsi="宋体" w:eastAsia="宋体" w:cs="宋体"/>
          <w:sz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35C15DD2">
      <w:pPr>
        <w:pStyle w:val="6"/>
        <w:spacing w:line="360" w:lineRule="auto"/>
        <w:ind w:firstLine="480"/>
        <w:rPr>
          <w:rFonts w:ascii="宋体" w:hAnsi="宋体" w:eastAsia="宋体" w:cs="宋体"/>
          <w:sz w:val="24"/>
        </w:rPr>
      </w:pPr>
      <w:r>
        <w:rPr>
          <w:rFonts w:hint="eastAsia" w:ascii="宋体" w:hAnsi="宋体" w:eastAsia="宋体" w:cs="宋体"/>
          <w:sz w:val="24"/>
        </w:rPr>
        <w:t>符合中小企业划分标准的个体工商户，在政府采购活动中视同中小企业。</w:t>
      </w:r>
    </w:p>
    <w:p w14:paraId="5639125C">
      <w:pPr>
        <w:pStyle w:val="6"/>
        <w:spacing w:line="360" w:lineRule="auto"/>
        <w:ind w:firstLine="480"/>
        <w:rPr>
          <w:rFonts w:ascii="宋体" w:hAnsi="宋体" w:eastAsia="宋体" w:cs="宋体"/>
          <w:sz w:val="24"/>
        </w:rPr>
      </w:pPr>
      <w:r>
        <w:rPr>
          <w:rFonts w:hint="eastAsia" w:ascii="宋体" w:hAnsi="宋体" w:eastAsia="宋体" w:cs="宋体"/>
          <w:sz w:val="24"/>
        </w:rPr>
        <w:t>5.1.2在未预留份额专门面向中小企业的政府采购货物或服务项目，以及预留份额政府采购货物或服务项目中的非预留部分标项中，投标人提供的货物、工程或者服务符合下列情形的，享受中小企业扶持政策：</w:t>
      </w:r>
    </w:p>
    <w:p w14:paraId="668241CA">
      <w:pPr>
        <w:pStyle w:val="6"/>
        <w:spacing w:line="360" w:lineRule="auto"/>
        <w:ind w:firstLine="480"/>
        <w:rPr>
          <w:rFonts w:ascii="宋体" w:hAnsi="宋体" w:eastAsia="宋体" w:cs="宋体"/>
          <w:sz w:val="24"/>
        </w:rPr>
      </w:pPr>
      <w:r>
        <w:rPr>
          <w:rFonts w:hint="eastAsia" w:ascii="宋体" w:hAnsi="宋体" w:eastAsia="宋体" w:cs="宋体"/>
          <w:sz w:val="24"/>
        </w:rPr>
        <w:t>5.1.2.1在货物采购项目中，货物由中小企业制造，即货物由中小企业生产且使用该中小企业商号或者注册商标；</w:t>
      </w:r>
    </w:p>
    <w:p w14:paraId="2E22D194">
      <w:pPr>
        <w:pStyle w:val="6"/>
        <w:spacing w:line="360" w:lineRule="auto"/>
        <w:ind w:firstLine="480"/>
        <w:rPr>
          <w:rFonts w:ascii="宋体" w:hAnsi="宋体" w:eastAsia="宋体" w:cs="宋体"/>
          <w:sz w:val="24"/>
        </w:rPr>
      </w:pPr>
      <w:r>
        <w:rPr>
          <w:rFonts w:hint="eastAsia" w:ascii="宋体" w:hAnsi="宋体" w:eastAsia="宋体" w:cs="宋体"/>
          <w:sz w:val="24"/>
        </w:rPr>
        <w:t>5.1.2.2在工程采购项目中，工程由中小企业承建，即工程施工单位为中小企业；</w:t>
      </w:r>
    </w:p>
    <w:p w14:paraId="08CEE386">
      <w:pPr>
        <w:pStyle w:val="6"/>
        <w:spacing w:line="360" w:lineRule="auto"/>
        <w:ind w:firstLine="480"/>
        <w:rPr>
          <w:rFonts w:ascii="宋体" w:hAnsi="宋体" w:eastAsia="宋体" w:cs="宋体"/>
          <w:sz w:val="24"/>
        </w:rPr>
      </w:pPr>
      <w:r>
        <w:rPr>
          <w:rFonts w:hint="eastAsia" w:ascii="宋体" w:hAnsi="宋体" w:eastAsia="宋体" w:cs="宋体"/>
          <w:sz w:val="24"/>
        </w:rPr>
        <w:t>5.1.2.3在服务采购项目中，服务由中小企业承接，即提供服务的人员为中小企业依照《中华人民共和国劳动合同法》订立劳动合同的从业人员。</w:t>
      </w:r>
    </w:p>
    <w:p w14:paraId="03FB4D79">
      <w:pPr>
        <w:pStyle w:val="6"/>
        <w:spacing w:line="360" w:lineRule="auto"/>
        <w:ind w:firstLine="480"/>
        <w:rPr>
          <w:rFonts w:ascii="宋体" w:hAnsi="宋体" w:eastAsia="宋体" w:cs="宋体"/>
          <w:sz w:val="24"/>
        </w:rPr>
      </w:pPr>
      <w:r>
        <w:rPr>
          <w:rFonts w:hint="eastAsia" w:ascii="宋体" w:hAnsi="宋体" w:eastAsia="宋体" w:cs="宋体"/>
          <w:sz w:val="24"/>
        </w:rPr>
        <w:t>在货物采购项目中，投标人提供的货物既有中小企业制造货物，也有大型企业制造货物的，不享受中小企业扶持政策。</w:t>
      </w:r>
    </w:p>
    <w:p w14:paraId="5AD7BA80">
      <w:pPr>
        <w:pStyle w:val="6"/>
        <w:spacing w:line="360" w:lineRule="auto"/>
        <w:ind w:firstLine="480"/>
        <w:rPr>
          <w:rFonts w:ascii="宋体" w:hAnsi="宋体" w:eastAsia="宋体" w:cs="宋体"/>
          <w:sz w:val="24"/>
        </w:rPr>
      </w:pPr>
      <w:r>
        <w:rPr>
          <w:rFonts w:hint="eastAsia" w:ascii="宋体" w:hAnsi="宋体" w:eastAsia="宋体" w:cs="宋体"/>
          <w:sz w:val="24"/>
        </w:rPr>
        <w:t>以联合体形式参加政府采购活动，联合体各方均为中小企业的，联合体视同中小企业。其中，联合体各方均为小微企业的，联合体视同小微企业。</w:t>
      </w:r>
    </w:p>
    <w:p w14:paraId="211AAC66">
      <w:pPr>
        <w:spacing w:line="360" w:lineRule="auto"/>
        <w:ind w:firstLine="480" w:firstLineChars="200"/>
        <w:rPr>
          <w:rFonts w:ascii="宋体" w:hAnsi="宋体" w:eastAsia="宋体" w:cs="宋体"/>
          <w:sz w:val="24"/>
        </w:rPr>
      </w:pPr>
      <w:r>
        <w:rPr>
          <w:rFonts w:hint="eastAsia" w:ascii="宋体" w:hAnsi="宋体" w:eastAsia="宋体" w:cs="宋体"/>
          <w:sz w:val="24"/>
        </w:rPr>
        <w:t>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27" w:name="_Hlk132637972"/>
      <w:r>
        <w:rPr>
          <w:rFonts w:hint="eastAsia" w:ascii="宋体" w:hAnsi="宋体" w:eastAsia="宋体" w:cs="宋体"/>
          <w:iCs/>
          <w:sz w:val="24"/>
        </w:rPr>
        <w:t>10%-20%</w:t>
      </w:r>
      <w:bookmarkEnd w:id="27"/>
      <w:r>
        <w:rPr>
          <w:rFonts w:hint="eastAsia" w:ascii="宋体" w:hAnsi="宋体" w:eastAsia="宋体" w:cs="宋体"/>
          <w:sz w:val="24"/>
        </w:rPr>
        <w:t>的扣除，</w:t>
      </w:r>
      <w:bookmarkStart w:id="28" w:name="_Hlk132637893"/>
      <w:r>
        <w:rPr>
          <w:rFonts w:hint="eastAsia" w:ascii="宋体" w:hAnsi="宋体" w:eastAsia="宋体" w:cs="宋体"/>
          <w:sz w:val="24"/>
        </w:rPr>
        <w:t>用扣除后的价格参与评审</w:t>
      </w:r>
      <w:bookmarkEnd w:id="28"/>
      <w:r>
        <w:rPr>
          <w:rFonts w:hint="eastAsia" w:ascii="宋体" w:hAnsi="宋体" w:eastAsia="宋体" w:cs="宋体"/>
          <w:sz w:val="24"/>
        </w:rPr>
        <w:t>。接受大中型企业与小微企业组成联合体或者允许大中型企业向一家或者多家小微企业分包的政府采购货物或服务项目，对于联合协议或者分包意向协议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sz w:val="24"/>
        </w:rPr>
        <w:t>约定小型、微型企业的协议合同金额占到合同总金额30%以上的，给予联合体</w:t>
      </w:r>
      <w:r>
        <w:rPr>
          <w:rFonts w:hint="eastAsia" w:ascii="宋体" w:hAnsi="宋体" w:eastAsia="宋体" w:cs="宋体"/>
          <w:bCs/>
          <w:iCs/>
          <w:sz w:val="24"/>
        </w:rPr>
        <w:t>4%-6%</w:t>
      </w:r>
      <w:r>
        <w:rPr>
          <w:rFonts w:hint="eastAsia" w:ascii="宋体" w:hAnsi="宋体" w:eastAsia="宋体" w:cs="宋体"/>
          <w:bCs/>
          <w:sz w:val="24"/>
        </w:rPr>
        <w:t>的价格扣除。联合体各方均为小型、微型企业的，联合体视同为小型、微型企业享受</w:t>
      </w:r>
      <w:r>
        <w:rPr>
          <w:rFonts w:hint="eastAsia" w:ascii="宋体" w:hAnsi="宋体" w:eastAsia="宋体" w:cs="宋体"/>
          <w:iCs/>
          <w:sz w:val="24"/>
        </w:rPr>
        <w:t>10%-20%</w:t>
      </w:r>
      <w:r>
        <w:rPr>
          <w:rFonts w:hint="eastAsia" w:ascii="宋体" w:hAnsi="宋体" w:eastAsia="宋体" w:cs="宋体"/>
          <w:bCs/>
          <w:sz w:val="24"/>
        </w:rPr>
        <w:t>的价格扣除，</w:t>
      </w:r>
      <w:r>
        <w:rPr>
          <w:rFonts w:hint="eastAsia" w:ascii="宋体" w:hAnsi="宋体" w:eastAsia="宋体" w:cs="宋体"/>
          <w:sz w:val="24"/>
        </w:rPr>
        <w:t>用扣除后的价格参与评审</w:t>
      </w:r>
      <w:r>
        <w:rPr>
          <w:rFonts w:hint="eastAsia" w:ascii="宋体" w:hAnsi="宋体" w:eastAsia="宋体" w:cs="宋体"/>
          <w:bCs/>
          <w:sz w:val="24"/>
        </w:rPr>
        <w:t>。</w:t>
      </w:r>
      <w:r>
        <w:rPr>
          <w:rFonts w:hint="eastAsia" w:ascii="宋体" w:hAnsi="宋体" w:eastAsia="宋体" w:cs="宋体"/>
          <w:sz w:val="24"/>
        </w:rPr>
        <w:t>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17548E1D">
      <w:pPr>
        <w:pStyle w:val="6"/>
        <w:spacing w:line="360" w:lineRule="auto"/>
        <w:ind w:firstLine="480"/>
        <w:rPr>
          <w:rFonts w:ascii="宋体" w:hAnsi="宋体" w:eastAsia="宋体" w:cs="宋体"/>
          <w:bCs/>
          <w:sz w:val="24"/>
        </w:rPr>
      </w:pPr>
      <w:r>
        <w:rPr>
          <w:rFonts w:hint="eastAsia" w:ascii="宋体" w:hAnsi="宋体" w:eastAsia="宋体" w:cs="宋体"/>
          <w:sz w:val="24"/>
        </w:rPr>
        <w:t>5.1.4</w:t>
      </w:r>
      <w:r>
        <w:rPr>
          <w:rFonts w:hint="eastAsia" w:ascii="宋体" w:hAnsi="宋体" w:eastAsia="宋体" w:cs="宋体"/>
          <w:bCs/>
          <w:sz w:val="24"/>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21DCA5D6">
      <w:pPr>
        <w:spacing w:line="360" w:lineRule="auto"/>
        <w:ind w:firstLine="480" w:firstLineChars="200"/>
        <w:rPr>
          <w:rFonts w:ascii="宋体" w:hAnsi="宋体" w:eastAsia="宋体" w:cs="宋体"/>
          <w:bCs/>
          <w:sz w:val="24"/>
        </w:rPr>
      </w:pPr>
      <w:r>
        <w:rPr>
          <w:rFonts w:hint="eastAsia" w:ascii="宋体" w:hAnsi="宋体" w:eastAsia="宋体" w:cs="宋体"/>
          <w:bCs/>
          <w:sz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28D2B82B">
      <w:pPr>
        <w:spacing w:line="360" w:lineRule="auto"/>
        <w:ind w:firstLine="480" w:firstLineChars="200"/>
        <w:rPr>
          <w:rFonts w:ascii="宋体" w:hAnsi="宋体" w:eastAsia="宋体" w:cs="宋体"/>
          <w:bCs/>
          <w:sz w:val="24"/>
        </w:rPr>
      </w:pPr>
      <w:r>
        <w:rPr>
          <w:rFonts w:hint="eastAsia" w:ascii="宋体" w:hAnsi="宋体" w:eastAsia="宋体" w:cs="宋体"/>
          <w:bCs/>
          <w:sz w:val="24"/>
        </w:rPr>
        <w:t>5.1.6中小企业享受扶持政策获得政府采购合同的，小微企业不得将合同分包给大中型企业，中型企业不得将合同分包给大型企业。</w:t>
      </w:r>
    </w:p>
    <w:p w14:paraId="36F010A7">
      <w:pPr>
        <w:spacing w:line="360" w:lineRule="auto"/>
        <w:ind w:firstLine="477" w:firstLineChars="199"/>
        <w:rPr>
          <w:rFonts w:ascii="宋体" w:hAnsi="宋体" w:eastAsia="宋体" w:cs="宋体"/>
          <w:sz w:val="24"/>
        </w:rPr>
      </w:pPr>
      <w:r>
        <w:rPr>
          <w:rFonts w:hint="eastAsia" w:ascii="宋体" w:hAnsi="宋体" w:eastAsia="宋体" w:cs="宋体"/>
          <w:sz w:val="24"/>
        </w:rPr>
        <w:t>5.2强制采购信息安全产品</w:t>
      </w:r>
    </w:p>
    <w:p w14:paraId="32BBB800">
      <w:pPr>
        <w:spacing w:line="360" w:lineRule="auto"/>
        <w:ind w:firstLine="477" w:firstLineChars="199"/>
        <w:rPr>
          <w:rFonts w:ascii="宋体" w:hAnsi="宋体" w:eastAsia="宋体" w:cs="宋体"/>
          <w:sz w:val="24"/>
        </w:rPr>
      </w:pPr>
      <w:r>
        <w:rPr>
          <w:rFonts w:hint="eastAsia" w:ascii="宋体" w:hAnsi="宋体" w:eastAsia="宋体" w:cs="宋体"/>
          <w:sz w:val="24"/>
        </w:rPr>
        <w:t>信息安全产品指国家质检总局国家认监委《信息安全产品强制性认证目录》，并获得强制性产品认证证书的产品。</w:t>
      </w:r>
    </w:p>
    <w:p w14:paraId="668EAFF7">
      <w:pPr>
        <w:spacing w:line="360" w:lineRule="auto"/>
        <w:ind w:firstLine="477" w:firstLineChars="199"/>
        <w:rPr>
          <w:rFonts w:ascii="宋体" w:hAnsi="宋体" w:eastAsia="宋体" w:cs="宋体"/>
          <w:sz w:val="24"/>
        </w:rPr>
      </w:pPr>
      <w:r>
        <w:rPr>
          <w:rFonts w:hint="eastAsia" w:ascii="宋体" w:hAnsi="宋体" w:eastAsia="宋体" w:cs="宋体"/>
          <w:sz w:val="24"/>
        </w:rPr>
        <w:t>5.3支持绿色发展</w:t>
      </w:r>
    </w:p>
    <w:p w14:paraId="0B017A04">
      <w:pPr>
        <w:spacing w:line="360" w:lineRule="auto"/>
        <w:ind w:firstLine="477" w:firstLineChars="199"/>
        <w:rPr>
          <w:rFonts w:ascii="宋体" w:hAnsi="宋体" w:eastAsia="宋体" w:cs="宋体"/>
          <w:sz w:val="24"/>
        </w:rPr>
      </w:pPr>
      <w:r>
        <w:rPr>
          <w:rFonts w:hint="eastAsia" w:ascii="宋体" w:hAnsi="宋体" w:eastAsia="宋体" w:cs="宋体"/>
          <w:sz w:val="24"/>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52B2926A">
      <w:pPr>
        <w:spacing w:line="360" w:lineRule="auto"/>
        <w:ind w:firstLine="477" w:firstLineChars="199"/>
        <w:rPr>
          <w:rFonts w:ascii="宋体" w:hAnsi="宋体" w:eastAsia="宋体" w:cs="宋体"/>
          <w:sz w:val="24"/>
        </w:rPr>
      </w:pPr>
      <w:r>
        <w:rPr>
          <w:rFonts w:hint="eastAsia" w:ascii="宋体" w:hAnsi="宋体" w:eastAsia="宋体" w:cs="宋体"/>
          <w:sz w:val="24"/>
        </w:rPr>
        <w:t>5.3.2本项目中涉及商品包装和快递包装的，参考《财政部办公厅关于印发《商品包装政府采购需求标准（试行）》、《快递包装政府采购需求标准（试行）》的通知》</w:t>
      </w:r>
      <w:bookmarkStart w:id="29" w:name="_Hlk132634610"/>
      <w:r>
        <w:rPr>
          <w:rFonts w:hint="eastAsia" w:ascii="宋体" w:hAnsi="宋体" w:eastAsia="宋体" w:cs="宋体"/>
          <w:sz w:val="24"/>
        </w:rPr>
        <w:t>（财办库〔2020〕123号）</w:t>
      </w:r>
      <w:bookmarkEnd w:id="29"/>
      <w:r>
        <w:rPr>
          <w:rFonts w:hint="eastAsia" w:ascii="宋体" w:hAnsi="宋体" w:eastAsia="宋体" w:cs="宋体"/>
          <w:sz w:val="24"/>
        </w:rPr>
        <w:t>规定的包装需求标准。</w:t>
      </w:r>
    </w:p>
    <w:p w14:paraId="27A7D7BB">
      <w:pPr>
        <w:spacing w:line="360" w:lineRule="auto"/>
        <w:ind w:firstLine="477" w:firstLineChars="199"/>
        <w:rPr>
          <w:rFonts w:ascii="宋体" w:hAnsi="宋体" w:eastAsia="宋体" w:cs="宋体"/>
          <w:sz w:val="24"/>
        </w:rPr>
      </w:pPr>
      <w:r>
        <w:rPr>
          <w:rFonts w:hint="eastAsia" w:ascii="宋体" w:hAnsi="宋体" w:eastAsia="宋体" w:cs="宋体"/>
          <w:sz w:val="24"/>
        </w:rPr>
        <w:t>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p>
    <w:p w14:paraId="6D0BF7FF">
      <w:pPr>
        <w:spacing w:line="360" w:lineRule="auto"/>
        <w:ind w:firstLine="477" w:firstLineChars="199"/>
        <w:rPr>
          <w:rFonts w:ascii="宋体" w:hAnsi="宋体" w:eastAsia="宋体" w:cs="宋体"/>
          <w:sz w:val="24"/>
        </w:rPr>
      </w:pPr>
      <w:r>
        <w:rPr>
          <w:rFonts w:hint="eastAsia" w:ascii="宋体" w:hAnsi="宋体" w:eastAsia="宋体" w:cs="宋体"/>
          <w:sz w:val="24"/>
        </w:rPr>
        <w:t>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p>
    <w:p w14:paraId="7F35F462">
      <w:pPr>
        <w:spacing w:line="360" w:lineRule="auto"/>
        <w:ind w:firstLine="477" w:firstLineChars="199"/>
        <w:rPr>
          <w:rFonts w:ascii="宋体" w:hAnsi="宋体" w:eastAsia="宋体" w:cs="宋体"/>
          <w:sz w:val="24"/>
        </w:rPr>
      </w:pPr>
      <w:r>
        <w:rPr>
          <w:rFonts w:hint="eastAsia" w:ascii="宋体" w:hAnsi="宋体" w:eastAsia="宋体" w:cs="宋体"/>
          <w:sz w:val="24"/>
        </w:rPr>
        <w:t>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53ED5274">
      <w:pPr>
        <w:spacing w:line="360" w:lineRule="auto"/>
        <w:ind w:firstLine="477" w:firstLineChars="199"/>
        <w:rPr>
          <w:rFonts w:ascii="宋体" w:hAnsi="宋体" w:eastAsia="宋体" w:cs="宋体"/>
          <w:sz w:val="24"/>
        </w:rPr>
      </w:pPr>
      <w:r>
        <w:rPr>
          <w:rFonts w:hint="eastAsia" w:ascii="宋体" w:hAnsi="宋体" w:eastAsia="宋体" w:cs="宋体"/>
          <w:sz w:val="24"/>
        </w:rPr>
        <w:t>5.4 根据国家扶持中小企业的有关政策，采购项目中标人在履约过程中如遇到资金困难，凭政府采购合同在相关金融机构办理授信申请，相关事宜请查阅“</w:t>
      </w:r>
      <w:r>
        <w:rPr>
          <w:rFonts w:hint="eastAsia" w:ascii="宋体" w:hAnsi="宋体" w:eastAsia="宋体" w:cs="宋体"/>
          <w:sz w:val="24"/>
          <w:lang w:val="en-US" w:eastAsia="zh-CN"/>
        </w:rPr>
        <w:t>江苏省</w:t>
      </w:r>
      <w:r>
        <w:rPr>
          <w:rFonts w:hint="eastAsia" w:ascii="宋体" w:hAnsi="宋体" w:eastAsia="宋体" w:cs="宋体"/>
          <w:sz w:val="24"/>
        </w:rPr>
        <w:t>政府采购”网站。</w:t>
      </w:r>
    </w:p>
    <w:p w14:paraId="528119E9">
      <w:pPr>
        <w:spacing w:line="360" w:lineRule="auto"/>
        <w:ind w:firstLine="477" w:firstLineChars="199"/>
        <w:rPr>
          <w:rFonts w:ascii="宋体" w:hAnsi="宋体" w:eastAsia="宋体" w:cs="宋体"/>
          <w:sz w:val="24"/>
        </w:rPr>
      </w:pPr>
      <w:r>
        <w:rPr>
          <w:rFonts w:hint="eastAsia" w:ascii="宋体" w:hAnsi="宋体" w:eastAsia="宋体" w:cs="宋体"/>
          <w:sz w:val="24"/>
        </w:rPr>
        <w:t>5.5支持创新发展</w:t>
      </w:r>
    </w:p>
    <w:p w14:paraId="3DCBDD75">
      <w:pPr>
        <w:spacing w:line="360" w:lineRule="auto"/>
        <w:ind w:firstLine="477" w:firstLineChars="199"/>
        <w:rPr>
          <w:rFonts w:ascii="宋体" w:hAnsi="宋体" w:eastAsia="宋体" w:cs="宋体"/>
          <w:sz w:val="24"/>
        </w:rPr>
      </w:pPr>
      <w:r>
        <w:rPr>
          <w:rFonts w:hint="eastAsia" w:ascii="宋体" w:hAnsi="宋体" w:eastAsia="宋体" w:cs="宋体"/>
          <w:sz w:val="24"/>
        </w:rPr>
        <w:t>5.5.1采购人优先采购被认定为重点推广应用、首台（套）重大装备、重点领域首版次软件的自主创新产品。</w:t>
      </w:r>
    </w:p>
    <w:p w14:paraId="50FB94DD">
      <w:pPr>
        <w:spacing w:line="360" w:lineRule="auto"/>
        <w:ind w:firstLine="477" w:firstLineChars="199"/>
        <w:rPr>
          <w:rFonts w:ascii="宋体" w:hAnsi="宋体" w:eastAsia="宋体" w:cs="宋体"/>
          <w:sz w:val="24"/>
        </w:rPr>
      </w:pPr>
      <w:r>
        <w:rPr>
          <w:rFonts w:hint="eastAsia" w:ascii="宋体" w:hAnsi="宋体" w:eastAsia="宋体" w:cs="宋体"/>
          <w:sz w:val="24"/>
        </w:rPr>
        <w:t>5.6平等对待内外资企业和符合条件的破产重整企业</w:t>
      </w:r>
    </w:p>
    <w:p w14:paraId="5E8AC770">
      <w:pPr>
        <w:spacing w:line="360" w:lineRule="auto"/>
        <w:ind w:firstLine="477" w:firstLineChars="199"/>
        <w:rPr>
          <w:rFonts w:ascii="宋体" w:hAnsi="宋体" w:eastAsia="宋体" w:cs="宋体"/>
          <w:sz w:val="24"/>
        </w:rPr>
      </w:pPr>
      <w:r>
        <w:rPr>
          <w:rFonts w:hint="eastAsia" w:ascii="宋体" w:hAnsi="宋体" w:eastAsia="宋体" w:cs="宋体"/>
          <w:sz w:val="24"/>
        </w:rPr>
        <w:t>5.6.1平等对待内外资企业和符合条件的破产重整企业，切实保障企业公平竞争，平等维护企业的合法利益。</w:t>
      </w:r>
    </w:p>
    <w:p w14:paraId="0D11F5C6">
      <w:pPr>
        <w:pStyle w:val="4"/>
        <w:spacing w:before="405" w:beforeLines="130" w:after="405" w:afterLines="130" w:line="360" w:lineRule="auto"/>
        <w:jc w:val="center"/>
      </w:pPr>
      <w:bookmarkStart w:id="30" w:name="_Toc1459"/>
      <w:r>
        <w:t>二、磋商文件</w:t>
      </w:r>
      <w:bookmarkEnd w:id="30"/>
    </w:p>
    <w:p w14:paraId="123F36D9">
      <w:pPr>
        <w:pStyle w:val="5"/>
        <w:spacing w:line="360" w:lineRule="auto"/>
        <w:rPr>
          <w:rFonts w:ascii="宋体" w:hAnsi="宋体" w:eastAsia="宋体" w:cs="宋体"/>
          <w:sz w:val="24"/>
        </w:rPr>
      </w:pPr>
      <w:bookmarkStart w:id="31" w:name="_Toc7784"/>
      <w:r>
        <w:rPr>
          <w:rFonts w:ascii="宋体" w:hAnsi="宋体" w:eastAsia="宋体" w:cs="宋体"/>
          <w:sz w:val="24"/>
        </w:rPr>
        <w:t>6.磋商文件组成</w:t>
      </w:r>
      <w:bookmarkEnd w:id="31"/>
    </w:p>
    <w:p w14:paraId="1E27CD8B">
      <w:pPr>
        <w:spacing w:line="360" w:lineRule="auto"/>
        <w:ind w:firstLine="480" w:firstLineChars="200"/>
        <w:jc w:val="left"/>
        <w:rPr>
          <w:rFonts w:ascii="宋体" w:hAnsi="宋体" w:eastAsia="宋体" w:cs="宋体"/>
          <w:sz w:val="24"/>
        </w:rPr>
      </w:pPr>
      <w:r>
        <w:rPr>
          <w:rFonts w:ascii="宋体" w:hAnsi="宋体" w:eastAsia="宋体" w:cs="宋体"/>
          <w:sz w:val="24"/>
        </w:rPr>
        <w:t>6.1磋商文件包括：</w:t>
      </w:r>
    </w:p>
    <w:p w14:paraId="78051580">
      <w:pPr>
        <w:spacing w:line="360" w:lineRule="auto"/>
        <w:ind w:firstLine="480" w:firstLineChars="200"/>
        <w:jc w:val="left"/>
        <w:rPr>
          <w:rFonts w:ascii="宋体" w:hAnsi="宋体" w:eastAsia="宋体" w:cs="宋体"/>
          <w:sz w:val="24"/>
        </w:rPr>
      </w:pPr>
      <w:r>
        <w:rPr>
          <w:rFonts w:ascii="宋体" w:hAnsi="宋体" w:eastAsia="宋体" w:cs="宋体"/>
          <w:sz w:val="24"/>
        </w:rPr>
        <w:t>(1)磋商邀请</w:t>
      </w:r>
    </w:p>
    <w:p w14:paraId="7616BEB1">
      <w:pPr>
        <w:spacing w:line="360" w:lineRule="auto"/>
        <w:ind w:firstLine="480" w:firstLineChars="200"/>
        <w:jc w:val="left"/>
        <w:rPr>
          <w:rFonts w:ascii="宋体" w:hAnsi="宋体" w:eastAsia="宋体" w:cs="宋体"/>
          <w:sz w:val="24"/>
        </w:rPr>
      </w:pPr>
      <w:r>
        <w:rPr>
          <w:rFonts w:ascii="宋体" w:hAnsi="宋体" w:eastAsia="宋体" w:cs="宋体"/>
          <w:sz w:val="24"/>
        </w:rPr>
        <w:t>(2)供应商须知</w:t>
      </w:r>
    </w:p>
    <w:p w14:paraId="619E7B6B">
      <w:pPr>
        <w:spacing w:line="360" w:lineRule="auto"/>
        <w:ind w:firstLine="480" w:firstLineChars="200"/>
        <w:jc w:val="left"/>
        <w:rPr>
          <w:rFonts w:ascii="宋体" w:hAnsi="宋体" w:eastAsia="宋体" w:cs="宋体"/>
          <w:sz w:val="24"/>
        </w:rPr>
      </w:pPr>
      <w:r>
        <w:rPr>
          <w:rFonts w:ascii="宋体" w:hAnsi="宋体" w:eastAsia="宋体" w:cs="宋体"/>
          <w:sz w:val="24"/>
        </w:rPr>
        <w:t>(3)合同</w:t>
      </w:r>
    </w:p>
    <w:p w14:paraId="17F1A019">
      <w:pPr>
        <w:spacing w:line="360" w:lineRule="auto"/>
        <w:ind w:firstLine="480" w:firstLineChars="200"/>
        <w:jc w:val="left"/>
        <w:rPr>
          <w:rFonts w:ascii="宋体" w:hAnsi="宋体" w:eastAsia="宋体" w:cs="宋体"/>
          <w:sz w:val="24"/>
        </w:rPr>
      </w:pPr>
      <w:r>
        <w:rPr>
          <w:rFonts w:ascii="宋体" w:hAnsi="宋体" w:eastAsia="宋体" w:cs="宋体"/>
          <w:sz w:val="24"/>
        </w:rPr>
        <w:t>(4)采购需求</w:t>
      </w:r>
    </w:p>
    <w:p w14:paraId="2B97ABF6">
      <w:pPr>
        <w:spacing w:line="360" w:lineRule="auto"/>
        <w:ind w:firstLine="480" w:firstLineChars="200"/>
        <w:jc w:val="left"/>
        <w:rPr>
          <w:rFonts w:ascii="宋体" w:hAnsi="宋体" w:eastAsia="宋体" w:cs="宋体"/>
          <w:sz w:val="24"/>
        </w:rPr>
      </w:pPr>
      <w:r>
        <w:rPr>
          <w:rFonts w:ascii="宋体" w:hAnsi="宋体" w:eastAsia="宋体" w:cs="宋体"/>
          <w:sz w:val="24"/>
        </w:rPr>
        <w:t>(5)评审办法和标准</w:t>
      </w:r>
    </w:p>
    <w:p w14:paraId="74ACBDC7">
      <w:pPr>
        <w:spacing w:line="360" w:lineRule="auto"/>
        <w:ind w:firstLine="480" w:firstLineChars="200"/>
        <w:jc w:val="left"/>
        <w:rPr>
          <w:rFonts w:ascii="宋体" w:hAnsi="宋体" w:eastAsia="宋体" w:cs="宋体"/>
          <w:sz w:val="24"/>
        </w:rPr>
      </w:pPr>
      <w:r>
        <w:rPr>
          <w:rFonts w:ascii="宋体" w:hAnsi="宋体" w:eastAsia="宋体" w:cs="宋体"/>
          <w:sz w:val="24"/>
        </w:rPr>
        <w:t>(6)磋商响应文件(格式)</w:t>
      </w:r>
    </w:p>
    <w:p w14:paraId="21F96B17">
      <w:pPr>
        <w:spacing w:line="360" w:lineRule="auto"/>
        <w:ind w:firstLine="480" w:firstLineChars="200"/>
        <w:jc w:val="left"/>
        <w:rPr>
          <w:rFonts w:ascii="宋体" w:hAnsi="宋体" w:eastAsia="宋体" w:cs="宋体"/>
          <w:sz w:val="24"/>
        </w:rPr>
      </w:pPr>
      <w:r>
        <w:rPr>
          <w:rFonts w:ascii="宋体" w:hAnsi="宋体" w:eastAsia="宋体" w:cs="宋体"/>
          <w:sz w:val="24"/>
        </w:rPr>
        <w:t>6.2供应商获取本文件后，应认真阅读本文件中所有的事项、格式条款和规范等要求。</w:t>
      </w:r>
    </w:p>
    <w:p w14:paraId="788E0521">
      <w:pPr>
        <w:spacing w:line="360" w:lineRule="auto"/>
        <w:ind w:firstLine="480" w:firstLineChars="200"/>
        <w:jc w:val="left"/>
        <w:rPr>
          <w:rFonts w:ascii="宋体" w:hAnsi="宋体" w:eastAsia="宋体" w:cs="宋体"/>
          <w:sz w:val="24"/>
        </w:rPr>
      </w:pPr>
      <w:r>
        <w:rPr>
          <w:rFonts w:ascii="宋体" w:hAnsi="宋体" w:eastAsia="宋体" w:cs="宋体"/>
          <w:sz w:val="24"/>
        </w:rPr>
        <w:t>6.3</w:t>
      </w:r>
      <w:r>
        <w:rPr>
          <w:rFonts w:ascii="宋体" w:hAnsi="宋体" w:eastAsia="宋体" w:cs="宋体"/>
          <w:b/>
          <w:bCs/>
          <w:sz w:val="24"/>
          <w:u w:val="single"/>
        </w:rPr>
        <w:t>除非有特殊要求，磋商文件不单独提供标的所在地自然环境、气象条件、公用设施等情况，供应商被视为熟悉上述与签订和履行合同有关的一切情况。</w:t>
      </w:r>
    </w:p>
    <w:p w14:paraId="7B67B088"/>
    <w:p w14:paraId="53EC40D3">
      <w:pPr>
        <w:pStyle w:val="5"/>
        <w:spacing w:line="360" w:lineRule="auto"/>
        <w:rPr>
          <w:rFonts w:ascii="宋体" w:hAnsi="宋体" w:eastAsia="宋体" w:cs="宋体"/>
          <w:sz w:val="24"/>
        </w:rPr>
      </w:pPr>
      <w:bookmarkStart w:id="32" w:name="_Toc20910"/>
      <w:r>
        <w:rPr>
          <w:rFonts w:ascii="宋体" w:hAnsi="宋体" w:eastAsia="宋体" w:cs="宋体"/>
          <w:sz w:val="24"/>
        </w:rPr>
        <w:t>7.磋商文件的澄清和修改</w:t>
      </w:r>
      <w:bookmarkEnd w:id="32"/>
    </w:p>
    <w:p w14:paraId="246B04B9">
      <w:pPr>
        <w:spacing w:line="360" w:lineRule="auto"/>
        <w:ind w:firstLine="480" w:firstLineChars="200"/>
        <w:jc w:val="left"/>
        <w:rPr>
          <w:rFonts w:ascii="宋体" w:hAnsi="宋体" w:eastAsia="宋体" w:cs="宋体"/>
          <w:sz w:val="24"/>
        </w:rPr>
      </w:pPr>
      <w:r>
        <w:rPr>
          <w:rFonts w:ascii="宋体" w:hAnsi="宋体" w:eastAsia="宋体" w:cs="宋体"/>
          <w:sz w:val="24"/>
        </w:rPr>
        <w:t>7.1任何要求对磋商文件进行澄清的供应商，应及时联系项目联系人。</w:t>
      </w:r>
    </w:p>
    <w:p w14:paraId="38A0F01E">
      <w:pPr>
        <w:spacing w:line="360" w:lineRule="auto"/>
        <w:ind w:firstLine="482" w:firstLineChars="200"/>
        <w:jc w:val="left"/>
        <w:rPr>
          <w:rFonts w:ascii="宋体" w:hAnsi="宋体" w:eastAsia="宋体" w:cs="宋体"/>
          <w:sz w:val="24"/>
        </w:rPr>
      </w:pPr>
      <w:r>
        <w:rPr>
          <w:rFonts w:ascii="宋体" w:hAnsi="宋体" w:eastAsia="宋体" w:cs="宋体"/>
          <w:b/>
          <w:bCs/>
          <w:sz w:val="24"/>
        </w:rPr>
        <w:t>7.2按照权责相一致原则，供应商提出的对于磋商文件主要商务、技术指标的相关澄清、修改要求，由采购人负责答复并视情况作出澄清或修改的决定。</w:t>
      </w:r>
    </w:p>
    <w:p w14:paraId="1128909C">
      <w:pPr>
        <w:spacing w:line="360" w:lineRule="auto"/>
        <w:ind w:firstLine="480" w:firstLineChars="200"/>
        <w:jc w:val="left"/>
        <w:rPr>
          <w:rFonts w:ascii="宋体" w:hAnsi="宋体" w:eastAsia="宋体" w:cs="宋体"/>
          <w:sz w:val="24"/>
        </w:rPr>
      </w:pPr>
      <w:r>
        <w:rPr>
          <w:rFonts w:ascii="宋体" w:hAnsi="宋体" w:eastAsia="宋体" w:cs="宋体"/>
          <w:sz w:val="24"/>
        </w:rPr>
        <w:t>7.3磋商组织方可以对已发出的磋商文件进行必要的澄清或者修改。澄清或者修改将在“</w:t>
      </w:r>
      <w:r>
        <w:rPr>
          <w:rFonts w:hint="eastAsia" w:ascii="宋体" w:hAnsi="宋体" w:eastAsia="宋体" w:cs="宋体"/>
          <w:sz w:val="24"/>
        </w:rPr>
        <w:t>江苏省政府采购网</w:t>
      </w:r>
      <w:r>
        <w:rPr>
          <w:rFonts w:ascii="宋体" w:hAnsi="宋体" w:eastAsia="宋体" w:cs="宋体"/>
          <w:sz w:val="24"/>
        </w:rPr>
        <w:t>”网站上发布澄清公告。澄清或者修改的内容为磋商文件的组成部分。</w:t>
      </w:r>
    </w:p>
    <w:p w14:paraId="5C405EC0">
      <w:pPr>
        <w:spacing w:line="360" w:lineRule="auto"/>
        <w:ind w:firstLine="480" w:firstLineChars="200"/>
        <w:jc w:val="left"/>
        <w:rPr>
          <w:rFonts w:ascii="宋体" w:hAnsi="宋体" w:eastAsia="宋体" w:cs="宋体"/>
          <w:sz w:val="24"/>
        </w:rPr>
      </w:pPr>
      <w:r>
        <w:rPr>
          <w:rFonts w:ascii="宋体" w:hAnsi="宋体" w:eastAsia="宋体" w:cs="宋体"/>
          <w:sz w:val="24"/>
        </w:rPr>
        <w:t>7.4澄清或者修改的内容可能影响磋商响应文件编制的，磋商组织方将在磋商截止时间至少5日前，在系统中以书面形式通知所有已获取磋商文件的潜在供应商，供应商请登录系统查看相应内容；不足5日的，磋商组织方将顺延提交首次磋商响应文件的截止时间。</w:t>
      </w:r>
    </w:p>
    <w:p w14:paraId="2C7FE0CA">
      <w:pPr>
        <w:spacing w:line="360" w:lineRule="auto"/>
        <w:ind w:firstLine="482" w:firstLineChars="200"/>
        <w:jc w:val="left"/>
        <w:rPr>
          <w:rFonts w:ascii="宋体" w:hAnsi="宋体" w:eastAsia="宋体" w:cs="宋体"/>
          <w:b/>
          <w:bCs/>
          <w:sz w:val="24"/>
        </w:rPr>
      </w:pPr>
      <w:r>
        <w:rPr>
          <w:rFonts w:ascii="宋体" w:hAnsi="宋体" w:eastAsia="宋体" w:cs="宋体"/>
          <w:b/>
          <w:bCs/>
          <w:sz w:val="24"/>
        </w:rPr>
        <w:t>7.5如澄清或修改公告</w:t>
      </w:r>
      <w:r>
        <w:rPr>
          <w:rFonts w:hint="eastAsia" w:ascii="宋体" w:hAnsi="宋体" w:eastAsia="宋体" w:cs="宋体"/>
          <w:b/>
          <w:bCs/>
          <w:sz w:val="24"/>
          <w:lang w:val="en-US" w:eastAsia="zh-CN"/>
        </w:rPr>
        <w:t>又</w:t>
      </w:r>
      <w:r>
        <w:rPr>
          <w:rFonts w:ascii="宋体" w:hAnsi="宋体" w:eastAsia="宋体" w:cs="宋体"/>
          <w:b/>
          <w:bCs/>
          <w:sz w:val="24"/>
        </w:rPr>
        <w:t>重新发布电子磋商文件的，供应商应下载最新发布的电子磋商文件制作响应文件。因供应商自身原因未能及时获取的，一切后果由供应商自行承担。</w:t>
      </w:r>
    </w:p>
    <w:p w14:paraId="40DF7495">
      <w:pPr>
        <w:pStyle w:val="4"/>
        <w:spacing w:before="405" w:beforeLines="130" w:after="405" w:afterLines="130" w:line="360" w:lineRule="auto"/>
        <w:jc w:val="center"/>
      </w:pPr>
      <w:bookmarkStart w:id="33" w:name="_Toc14425"/>
      <w:r>
        <w:t>三、磋商响应文件</w:t>
      </w:r>
      <w:bookmarkEnd w:id="33"/>
    </w:p>
    <w:p w14:paraId="23B4C928">
      <w:pPr>
        <w:pStyle w:val="5"/>
        <w:spacing w:line="360" w:lineRule="auto"/>
        <w:rPr>
          <w:rFonts w:ascii="宋体" w:hAnsi="宋体" w:eastAsia="宋体" w:cs="宋体"/>
          <w:sz w:val="24"/>
        </w:rPr>
      </w:pPr>
      <w:bookmarkStart w:id="34" w:name="_Toc22739"/>
      <w:r>
        <w:rPr>
          <w:rFonts w:ascii="宋体" w:hAnsi="宋体" w:eastAsia="宋体" w:cs="宋体"/>
          <w:sz w:val="24"/>
        </w:rPr>
        <w:t>8.编制响应文件的工具</w:t>
      </w:r>
      <w:bookmarkEnd w:id="34"/>
    </w:p>
    <w:p w14:paraId="3163A4D6">
      <w:pPr>
        <w:spacing w:line="360" w:lineRule="auto"/>
        <w:ind w:firstLine="480" w:firstLineChars="200"/>
        <w:jc w:val="left"/>
        <w:rPr>
          <w:rFonts w:ascii="宋体" w:hAnsi="宋体" w:eastAsia="宋体" w:cs="宋体"/>
          <w:sz w:val="24"/>
        </w:rPr>
      </w:pPr>
      <w:r>
        <w:rPr>
          <w:rFonts w:ascii="宋体" w:hAnsi="宋体" w:eastAsia="宋体" w:cs="宋体"/>
          <w:sz w:val="24"/>
        </w:rPr>
        <w:t>8.1供应商须通过</w:t>
      </w:r>
      <w:r>
        <w:rPr>
          <w:sz w:val="24"/>
        </w:rPr>
        <w:t>“苏采云</w:t>
      </w:r>
      <w:r>
        <w:rPr>
          <w:rFonts w:hint="eastAsia"/>
          <w:sz w:val="24"/>
        </w:rPr>
        <w:t>（政府采购一体化平台）</w:t>
      </w:r>
      <w:r>
        <w:rPr>
          <w:sz w:val="24"/>
        </w:rPr>
        <w:t>”</w:t>
      </w:r>
      <w:r>
        <w:rPr>
          <w:rFonts w:ascii="宋体" w:hAnsi="宋体" w:eastAsia="宋体" w:cs="宋体"/>
          <w:sz w:val="24"/>
        </w:rPr>
        <w:t>提供的最新响应文件制作软件编制响应文件。</w:t>
      </w:r>
    </w:p>
    <w:p w14:paraId="581F2EE1">
      <w:pPr>
        <w:pStyle w:val="5"/>
        <w:spacing w:line="360" w:lineRule="auto"/>
        <w:rPr>
          <w:rFonts w:ascii="宋体" w:hAnsi="宋体" w:eastAsia="宋体" w:cs="宋体"/>
          <w:sz w:val="24"/>
        </w:rPr>
      </w:pPr>
      <w:bookmarkStart w:id="35" w:name="_Toc14374"/>
      <w:r>
        <w:rPr>
          <w:rFonts w:ascii="宋体" w:hAnsi="宋体" w:eastAsia="宋体" w:cs="宋体"/>
          <w:sz w:val="24"/>
        </w:rPr>
        <w:t>9.响应文件语言及度量衡单位</w:t>
      </w:r>
      <w:bookmarkEnd w:id="35"/>
    </w:p>
    <w:p w14:paraId="3F564900">
      <w:pPr>
        <w:spacing w:line="360" w:lineRule="auto"/>
        <w:ind w:firstLine="480" w:firstLineChars="200"/>
        <w:jc w:val="left"/>
        <w:rPr>
          <w:rFonts w:ascii="宋体" w:hAnsi="宋体" w:eastAsia="宋体" w:cs="宋体"/>
          <w:sz w:val="24"/>
        </w:rPr>
      </w:pPr>
      <w:r>
        <w:rPr>
          <w:rFonts w:ascii="宋体" w:hAnsi="宋体" w:eastAsia="宋体" w:cs="宋体"/>
          <w:sz w:val="24"/>
        </w:rPr>
        <w:t>9.1供应商的响应文件以及供应商就有关磋商的所有来往通知、函件和文件均应使用简体中文。供应商提交的支持性文件可以使用另一种语言，但相应内容应翻译成中文，在解释响应文件时以中文文本为准。</w:t>
      </w:r>
    </w:p>
    <w:p w14:paraId="6C3B67FA">
      <w:pPr>
        <w:spacing w:line="360" w:lineRule="auto"/>
        <w:ind w:firstLine="480" w:firstLineChars="200"/>
        <w:jc w:val="left"/>
        <w:rPr>
          <w:rFonts w:ascii="宋体" w:hAnsi="宋体" w:eastAsia="宋体" w:cs="宋体"/>
          <w:sz w:val="24"/>
        </w:rPr>
      </w:pPr>
      <w:r>
        <w:rPr>
          <w:rFonts w:ascii="宋体" w:hAnsi="宋体" w:eastAsia="宋体" w:cs="宋体"/>
          <w:sz w:val="24"/>
        </w:rPr>
        <w:t>9.2响应文件中所使用的计量单位除磋商文件中另有特殊规定外，一律使用法定计量单位。</w:t>
      </w:r>
    </w:p>
    <w:p w14:paraId="2701468A">
      <w:pPr>
        <w:pStyle w:val="5"/>
        <w:spacing w:line="360" w:lineRule="auto"/>
        <w:rPr>
          <w:rFonts w:ascii="宋体" w:hAnsi="宋体" w:eastAsia="宋体" w:cs="宋体"/>
          <w:sz w:val="24"/>
        </w:rPr>
      </w:pPr>
      <w:bookmarkStart w:id="36" w:name="_Toc23895"/>
      <w:r>
        <w:rPr>
          <w:rFonts w:ascii="宋体" w:hAnsi="宋体" w:eastAsia="宋体" w:cs="宋体"/>
          <w:sz w:val="24"/>
        </w:rPr>
        <w:t>10.响应文件的构成</w:t>
      </w:r>
      <w:bookmarkEnd w:id="36"/>
    </w:p>
    <w:p w14:paraId="76FBE03D">
      <w:pPr>
        <w:spacing w:line="360" w:lineRule="auto"/>
        <w:ind w:firstLine="480" w:firstLineChars="200"/>
        <w:jc w:val="left"/>
        <w:rPr>
          <w:rFonts w:ascii="宋体" w:hAnsi="宋体" w:eastAsia="宋体" w:cs="宋体"/>
          <w:sz w:val="24"/>
        </w:rPr>
      </w:pPr>
      <w:r>
        <w:rPr>
          <w:rFonts w:ascii="宋体" w:hAnsi="宋体" w:eastAsia="宋体" w:cs="宋体"/>
          <w:sz w:val="24"/>
        </w:rPr>
        <w:t>10.1响应文件分为资格部分、商务部分和技术部分。</w:t>
      </w:r>
    </w:p>
    <w:p w14:paraId="37D688A2">
      <w:pPr>
        <w:spacing w:line="360" w:lineRule="auto"/>
        <w:ind w:firstLine="480" w:firstLineChars="200"/>
        <w:jc w:val="left"/>
        <w:rPr>
          <w:rFonts w:ascii="宋体" w:hAnsi="宋体" w:eastAsia="宋体" w:cs="宋体"/>
          <w:sz w:val="24"/>
        </w:rPr>
      </w:pPr>
      <w:r>
        <w:rPr>
          <w:rFonts w:ascii="宋体" w:hAnsi="宋体" w:eastAsia="宋体" w:cs="宋体"/>
          <w:sz w:val="24"/>
        </w:rPr>
        <w:t>10.2资格部分系指供应商提交的证明其有资格参加磋商的文件。</w:t>
      </w:r>
    </w:p>
    <w:p w14:paraId="3C448E16">
      <w:pPr>
        <w:spacing w:line="360" w:lineRule="auto"/>
        <w:ind w:firstLine="480" w:firstLineChars="200"/>
        <w:jc w:val="left"/>
        <w:rPr>
          <w:rFonts w:ascii="宋体" w:hAnsi="宋体" w:eastAsia="宋体" w:cs="宋体"/>
          <w:sz w:val="24"/>
        </w:rPr>
      </w:pPr>
      <w:r>
        <w:rPr>
          <w:rFonts w:ascii="宋体" w:hAnsi="宋体" w:eastAsia="宋体" w:cs="宋体"/>
          <w:sz w:val="24"/>
        </w:rPr>
        <w:t>10.3商务部分系指供应商提交的证明其成交后有能力履行合同的文件。</w:t>
      </w:r>
    </w:p>
    <w:p w14:paraId="2D0BB6AA">
      <w:pPr>
        <w:spacing w:line="360" w:lineRule="auto"/>
        <w:ind w:firstLine="480" w:firstLineChars="200"/>
        <w:jc w:val="left"/>
        <w:rPr>
          <w:rFonts w:ascii="宋体" w:hAnsi="宋体" w:eastAsia="宋体" w:cs="宋体"/>
          <w:sz w:val="24"/>
        </w:rPr>
      </w:pPr>
      <w:r>
        <w:rPr>
          <w:rFonts w:ascii="宋体" w:hAnsi="宋体" w:eastAsia="宋体" w:cs="宋体"/>
          <w:sz w:val="24"/>
        </w:rPr>
        <w:t>10.4技术部分系指供应商提交的能够证明其提供的服务(货物)符合磋商文件规定的文件。</w:t>
      </w:r>
    </w:p>
    <w:p w14:paraId="71A7BDA7">
      <w:pPr>
        <w:spacing w:line="360" w:lineRule="auto"/>
        <w:ind w:firstLine="480" w:firstLineChars="200"/>
        <w:jc w:val="left"/>
        <w:rPr>
          <w:rFonts w:ascii="宋体" w:hAnsi="宋体" w:eastAsia="宋体" w:cs="宋体"/>
          <w:sz w:val="24"/>
        </w:rPr>
      </w:pPr>
      <w:r>
        <w:rPr>
          <w:rFonts w:ascii="宋体" w:hAnsi="宋体" w:eastAsia="宋体" w:cs="宋体"/>
          <w:sz w:val="24"/>
        </w:rPr>
        <w:t>10.5具体填写格式详见磋商文件第六部分。</w:t>
      </w:r>
    </w:p>
    <w:p w14:paraId="33414E35">
      <w:pPr>
        <w:pStyle w:val="5"/>
        <w:spacing w:line="360" w:lineRule="auto"/>
        <w:rPr>
          <w:rFonts w:ascii="宋体" w:hAnsi="宋体" w:eastAsia="宋体" w:cs="宋体"/>
          <w:sz w:val="24"/>
        </w:rPr>
      </w:pPr>
      <w:bookmarkStart w:id="37" w:name="_Toc21500"/>
      <w:r>
        <w:rPr>
          <w:rFonts w:ascii="宋体" w:hAnsi="宋体" w:eastAsia="宋体" w:cs="宋体"/>
          <w:sz w:val="24"/>
        </w:rPr>
        <w:t>11.响应文件的编写</w:t>
      </w:r>
      <w:bookmarkEnd w:id="37"/>
    </w:p>
    <w:p w14:paraId="6B621C85">
      <w:pPr>
        <w:spacing w:line="360" w:lineRule="auto"/>
        <w:ind w:firstLine="480" w:firstLineChars="200"/>
        <w:jc w:val="left"/>
        <w:rPr>
          <w:rFonts w:ascii="宋体" w:hAnsi="宋体" w:eastAsia="宋体" w:cs="宋体"/>
          <w:sz w:val="24"/>
        </w:rPr>
      </w:pPr>
      <w:r>
        <w:rPr>
          <w:rFonts w:ascii="宋体" w:hAnsi="宋体" w:eastAsia="宋体" w:cs="宋体"/>
          <w:sz w:val="24"/>
        </w:rPr>
        <w:t>11.1供应商应仔细阅读磋商文件，按照磋商文件的要求编制响应文件。响应文件应当对磋商文件提出的要求和条件作出明确响应。</w:t>
      </w:r>
    </w:p>
    <w:p w14:paraId="2DED0F48">
      <w:pPr>
        <w:spacing w:line="360" w:lineRule="auto"/>
        <w:ind w:firstLine="480" w:firstLineChars="200"/>
        <w:jc w:val="left"/>
        <w:rPr>
          <w:rFonts w:ascii="宋体" w:hAnsi="宋体" w:eastAsia="宋体" w:cs="宋体"/>
          <w:sz w:val="24"/>
        </w:rPr>
      </w:pPr>
      <w:r>
        <w:rPr>
          <w:rFonts w:ascii="宋体" w:hAnsi="宋体" w:eastAsia="宋体" w:cs="宋体"/>
          <w:sz w:val="24"/>
        </w:rPr>
        <w:t>11.2供应商在编制响应文件时，各模块内容须填写或提交到对应位置，无相应内容可填的项应填写“无”、“没有相应指标”等明确的回答文字。</w:t>
      </w:r>
    </w:p>
    <w:p w14:paraId="7A700575">
      <w:pPr>
        <w:spacing w:line="360" w:lineRule="auto"/>
        <w:ind w:firstLine="480" w:firstLineChars="200"/>
        <w:jc w:val="left"/>
        <w:rPr>
          <w:rFonts w:ascii="宋体" w:hAnsi="宋体" w:eastAsia="宋体" w:cs="宋体"/>
          <w:sz w:val="24"/>
        </w:rPr>
      </w:pPr>
      <w:r>
        <w:rPr>
          <w:rFonts w:ascii="宋体" w:hAnsi="宋体" w:eastAsia="宋体" w:cs="宋体"/>
          <w:sz w:val="24"/>
        </w:rPr>
        <w:t>11.3响应文件编排混乱、文字表达不清或上传资料内容模糊所引起的不利后果，由供应商自行承担。</w:t>
      </w:r>
    </w:p>
    <w:p w14:paraId="0FB513AD">
      <w:pPr>
        <w:spacing w:line="360" w:lineRule="auto"/>
        <w:ind w:firstLine="480" w:firstLineChars="200"/>
        <w:jc w:val="left"/>
        <w:rPr>
          <w:rFonts w:ascii="宋体" w:hAnsi="宋体" w:eastAsia="宋体" w:cs="宋体"/>
          <w:sz w:val="24"/>
        </w:rPr>
      </w:pPr>
      <w:r>
        <w:rPr>
          <w:rFonts w:ascii="宋体" w:hAnsi="宋体" w:eastAsia="宋体" w:cs="宋体"/>
          <w:sz w:val="24"/>
        </w:rPr>
        <w:t>11.4供应商必须保证响应文件所提供的全部资料合法、真实、可靠。</w:t>
      </w:r>
    </w:p>
    <w:p w14:paraId="6772D189">
      <w:pPr>
        <w:pStyle w:val="5"/>
        <w:spacing w:line="360" w:lineRule="auto"/>
        <w:rPr>
          <w:rFonts w:ascii="宋体" w:hAnsi="宋体" w:eastAsia="宋体" w:cs="宋体"/>
          <w:sz w:val="24"/>
        </w:rPr>
      </w:pPr>
      <w:bookmarkStart w:id="38" w:name="_Toc28246"/>
      <w:r>
        <w:rPr>
          <w:rFonts w:ascii="宋体" w:hAnsi="宋体" w:eastAsia="宋体" w:cs="宋体"/>
          <w:sz w:val="24"/>
        </w:rPr>
        <w:t>12.响应报价</w:t>
      </w:r>
      <w:bookmarkEnd w:id="38"/>
    </w:p>
    <w:p w14:paraId="3ADD5AF9">
      <w:pPr>
        <w:spacing w:line="360" w:lineRule="auto"/>
        <w:ind w:firstLine="480" w:firstLineChars="200"/>
        <w:jc w:val="left"/>
        <w:rPr>
          <w:rFonts w:ascii="宋体" w:hAnsi="宋体" w:eastAsia="宋体" w:cs="宋体"/>
          <w:sz w:val="24"/>
        </w:rPr>
      </w:pPr>
      <w:r>
        <w:rPr>
          <w:rFonts w:ascii="宋体" w:hAnsi="宋体" w:eastAsia="宋体" w:cs="宋体"/>
          <w:sz w:val="24"/>
        </w:rPr>
        <w:t>12.1磋商应以人民币报价(保留至小数点后2位，四舍五入)。</w:t>
      </w:r>
    </w:p>
    <w:p w14:paraId="58F7D301">
      <w:pPr>
        <w:spacing w:line="360" w:lineRule="auto"/>
        <w:ind w:firstLine="480" w:firstLineChars="200"/>
        <w:jc w:val="left"/>
        <w:rPr>
          <w:rFonts w:ascii="宋体" w:hAnsi="宋体" w:eastAsia="宋体" w:cs="宋体"/>
          <w:sz w:val="24"/>
        </w:rPr>
      </w:pPr>
      <w:r>
        <w:rPr>
          <w:rFonts w:ascii="宋体" w:hAnsi="宋体" w:eastAsia="宋体" w:cs="宋体"/>
          <w:sz w:val="24"/>
        </w:rPr>
        <w:t>12.2供应商应按磋商文件所提供的各报价表格式报价。</w:t>
      </w:r>
    </w:p>
    <w:p w14:paraId="3666B152">
      <w:pPr>
        <w:spacing w:line="360" w:lineRule="auto"/>
        <w:ind w:firstLine="480" w:firstLineChars="200"/>
        <w:jc w:val="left"/>
        <w:rPr>
          <w:rFonts w:ascii="宋体" w:hAnsi="宋体" w:eastAsia="宋体" w:cs="宋体"/>
          <w:sz w:val="24"/>
        </w:rPr>
      </w:pPr>
      <w:r>
        <w:rPr>
          <w:rFonts w:ascii="宋体" w:hAnsi="宋体" w:eastAsia="宋体" w:cs="宋体"/>
          <w:sz w:val="24"/>
        </w:rPr>
        <w:t>12.3供应商对本项目应报出最具有竞争力的价格，应包括本次磋商要求提供货物(服务)已支付或将支付的所有费用。</w:t>
      </w:r>
    </w:p>
    <w:p w14:paraId="1CAD561B">
      <w:pPr>
        <w:spacing w:line="360" w:lineRule="auto"/>
        <w:ind w:firstLine="480" w:firstLineChars="200"/>
        <w:jc w:val="left"/>
        <w:rPr>
          <w:rFonts w:ascii="宋体" w:hAnsi="宋体" w:eastAsia="宋体" w:cs="宋体"/>
          <w:sz w:val="24"/>
        </w:rPr>
      </w:pPr>
      <w:r>
        <w:rPr>
          <w:rFonts w:ascii="宋体" w:hAnsi="宋体" w:eastAsia="宋体" w:cs="宋体"/>
          <w:sz w:val="24"/>
        </w:rPr>
        <w:t>12.4供应商应按磋商文件的要求在响应文件里提供磋商首轮报价，并根据首轮报价在所附的首轮明细报价表上列明所提供货物及服务的明细报价。供应商需根据项目需求及自身经验填写明细报价。</w:t>
      </w:r>
    </w:p>
    <w:p w14:paraId="40CD0FF1">
      <w:pPr>
        <w:spacing w:line="360" w:lineRule="auto"/>
        <w:ind w:firstLine="480" w:firstLineChars="200"/>
        <w:jc w:val="left"/>
        <w:rPr>
          <w:rFonts w:ascii="宋体" w:hAnsi="宋体" w:eastAsia="宋体" w:cs="宋体"/>
          <w:sz w:val="24"/>
        </w:rPr>
      </w:pPr>
      <w:r>
        <w:rPr>
          <w:rFonts w:ascii="宋体" w:hAnsi="宋体" w:eastAsia="宋体" w:cs="宋体"/>
          <w:sz w:val="24"/>
        </w:rPr>
        <w:t>12.5在磋商过程中未对磋商内容作出实质性变更、修改的情况下，如最后报价超过首轮报价，则最后报价无效，以其首轮报价作为最终报价。</w:t>
      </w:r>
    </w:p>
    <w:p w14:paraId="15E96AFE">
      <w:pPr>
        <w:spacing w:line="360" w:lineRule="auto"/>
        <w:ind w:firstLine="480" w:firstLineChars="200"/>
        <w:jc w:val="left"/>
        <w:rPr>
          <w:rFonts w:ascii="宋体" w:hAnsi="宋体" w:eastAsia="宋体" w:cs="宋体"/>
          <w:sz w:val="24"/>
        </w:rPr>
      </w:pPr>
      <w:r>
        <w:rPr>
          <w:rFonts w:ascii="宋体" w:hAnsi="宋体" w:eastAsia="宋体" w:cs="宋体"/>
          <w:sz w:val="24"/>
        </w:rPr>
        <w:t>12.6最低磋商报价不能作为成交的唯一保证。</w:t>
      </w:r>
    </w:p>
    <w:p w14:paraId="24743884">
      <w:pPr>
        <w:spacing w:line="360" w:lineRule="auto"/>
        <w:ind w:firstLine="480" w:firstLineChars="200"/>
        <w:jc w:val="left"/>
      </w:pPr>
      <w:r>
        <w:rPr>
          <w:rFonts w:ascii="宋体" w:hAnsi="宋体" w:eastAsia="宋体" w:cs="宋体"/>
          <w:sz w:val="24"/>
        </w:rPr>
        <w:t>12.7磋商最后报价即为合同签约价。</w:t>
      </w:r>
    </w:p>
    <w:p w14:paraId="19A8F12E">
      <w:pPr>
        <w:pStyle w:val="5"/>
        <w:spacing w:line="360" w:lineRule="auto"/>
        <w:rPr>
          <w:rFonts w:ascii="宋体" w:hAnsi="宋体" w:eastAsia="宋体" w:cs="宋体"/>
          <w:sz w:val="24"/>
        </w:rPr>
      </w:pPr>
      <w:bookmarkStart w:id="39" w:name="_Toc20890"/>
      <w:r>
        <w:rPr>
          <w:rFonts w:ascii="宋体" w:hAnsi="宋体" w:eastAsia="宋体" w:cs="宋体"/>
          <w:sz w:val="24"/>
        </w:rPr>
        <w:t>13.磋商保证金</w:t>
      </w:r>
      <w:bookmarkEnd w:id="39"/>
    </w:p>
    <w:p w14:paraId="44A9AD40">
      <w:pPr>
        <w:spacing w:line="360" w:lineRule="auto"/>
        <w:ind w:firstLine="480" w:firstLineChars="200"/>
        <w:jc w:val="left"/>
        <w:rPr>
          <w:rFonts w:ascii="宋体" w:hAnsi="宋体" w:eastAsia="宋体" w:cs="宋体"/>
          <w:sz w:val="24"/>
        </w:rPr>
      </w:pPr>
      <w:r>
        <w:rPr>
          <w:rFonts w:ascii="宋体" w:hAnsi="宋体" w:eastAsia="宋体" w:cs="宋体"/>
          <w:sz w:val="24"/>
        </w:rPr>
        <w:t>13.1本项目不收磋商保证金。</w:t>
      </w:r>
    </w:p>
    <w:p w14:paraId="04FF77D0">
      <w:pPr>
        <w:pStyle w:val="5"/>
        <w:spacing w:line="360" w:lineRule="auto"/>
        <w:rPr>
          <w:rFonts w:ascii="宋体" w:hAnsi="宋体" w:eastAsia="宋体" w:cs="宋体"/>
          <w:sz w:val="24"/>
        </w:rPr>
      </w:pPr>
      <w:bookmarkStart w:id="40" w:name="_Toc18756"/>
      <w:r>
        <w:rPr>
          <w:rFonts w:ascii="宋体" w:hAnsi="宋体" w:eastAsia="宋体" w:cs="宋体"/>
          <w:sz w:val="24"/>
        </w:rPr>
        <w:t>14.磋商响应有效期</w:t>
      </w:r>
      <w:bookmarkEnd w:id="40"/>
    </w:p>
    <w:p w14:paraId="57A41996">
      <w:pPr>
        <w:spacing w:line="360" w:lineRule="auto"/>
        <w:ind w:firstLine="480" w:firstLineChars="200"/>
        <w:jc w:val="left"/>
        <w:rPr>
          <w:rFonts w:ascii="宋体" w:hAnsi="宋体" w:eastAsia="宋体" w:cs="宋体"/>
          <w:sz w:val="24"/>
        </w:rPr>
      </w:pPr>
      <w:r>
        <w:rPr>
          <w:rFonts w:ascii="宋体" w:hAnsi="宋体" w:eastAsia="宋体" w:cs="宋体"/>
          <w:sz w:val="24"/>
        </w:rPr>
        <w:t>14.1磋商有效期为：磋商响应文件自磋商之日起45天内有效。供应商一旦领取了本</w:t>
      </w:r>
    </w:p>
    <w:p w14:paraId="4D768415">
      <w:pPr>
        <w:spacing w:line="360" w:lineRule="auto"/>
        <w:jc w:val="left"/>
        <w:rPr>
          <w:rFonts w:ascii="宋体" w:hAnsi="宋体" w:eastAsia="宋体" w:cs="宋体"/>
          <w:sz w:val="24"/>
        </w:rPr>
      </w:pPr>
      <w:r>
        <w:rPr>
          <w:rFonts w:ascii="宋体" w:hAnsi="宋体" w:eastAsia="宋体" w:cs="宋体"/>
          <w:sz w:val="24"/>
        </w:rPr>
        <w:t>磋商文件并参加磋商，即被认为接受了磋商有效期的约定。</w:t>
      </w:r>
    </w:p>
    <w:p w14:paraId="1B2DAC95">
      <w:pPr>
        <w:spacing w:line="360" w:lineRule="auto"/>
        <w:ind w:firstLine="480" w:firstLineChars="200"/>
        <w:jc w:val="left"/>
        <w:rPr>
          <w:rFonts w:ascii="宋体" w:hAnsi="宋体" w:eastAsia="宋体" w:cs="宋体"/>
          <w:sz w:val="24"/>
        </w:rPr>
      </w:pPr>
      <w:r>
        <w:rPr>
          <w:rFonts w:ascii="宋体" w:hAnsi="宋体" w:eastAsia="宋体" w:cs="宋体"/>
          <w:sz w:val="24"/>
        </w:rPr>
        <w:t>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p>
    <w:p w14:paraId="0DCDD6D4">
      <w:pPr>
        <w:pStyle w:val="5"/>
        <w:spacing w:line="360" w:lineRule="auto"/>
        <w:rPr>
          <w:rFonts w:ascii="宋体" w:hAnsi="宋体" w:eastAsia="宋体" w:cs="宋体"/>
          <w:sz w:val="24"/>
        </w:rPr>
      </w:pPr>
      <w:bookmarkStart w:id="41" w:name="_Toc5270"/>
      <w:r>
        <w:rPr>
          <w:rFonts w:ascii="宋体" w:hAnsi="宋体" w:eastAsia="宋体" w:cs="宋体"/>
          <w:sz w:val="24"/>
        </w:rPr>
        <w:t>15.响应文件的式样和签署</w:t>
      </w:r>
      <w:bookmarkEnd w:id="41"/>
    </w:p>
    <w:p w14:paraId="0B1158B1">
      <w:pPr>
        <w:spacing w:line="360" w:lineRule="auto"/>
        <w:ind w:firstLine="480" w:firstLineChars="200"/>
        <w:jc w:val="left"/>
        <w:rPr>
          <w:rFonts w:ascii="宋体" w:hAnsi="宋体" w:eastAsia="宋体" w:cs="宋体"/>
          <w:sz w:val="24"/>
        </w:rPr>
      </w:pPr>
      <w:r>
        <w:rPr>
          <w:rFonts w:ascii="宋体" w:hAnsi="宋体" w:eastAsia="宋体" w:cs="宋体"/>
          <w:sz w:val="24"/>
        </w:rPr>
        <w:t>15.1供应商应通过响应文件制作软件使用数字认证证书对响应文件进行合成、电子签章及加密打包。</w:t>
      </w:r>
    </w:p>
    <w:p w14:paraId="717C30B4">
      <w:pPr>
        <w:pStyle w:val="5"/>
        <w:spacing w:line="360" w:lineRule="auto"/>
        <w:rPr>
          <w:rFonts w:ascii="宋体" w:hAnsi="宋体" w:eastAsia="宋体" w:cs="宋体"/>
          <w:sz w:val="24"/>
        </w:rPr>
      </w:pPr>
      <w:bookmarkStart w:id="42" w:name="_Toc6053"/>
      <w:r>
        <w:rPr>
          <w:rFonts w:ascii="宋体" w:hAnsi="宋体" w:eastAsia="宋体" w:cs="宋体"/>
          <w:sz w:val="24"/>
        </w:rPr>
        <w:t>16.响应文件的提交</w:t>
      </w:r>
      <w:bookmarkEnd w:id="42"/>
    </w:p>
    <w:p w14:paraId="446560E7">
      <w:pPr>
        <w:spacing w:line="360" w:lineRule="auto"/>
        <w:ind w:firstLine="480" w:firstLineChars="200"/>
        <w:jc w:val="left"/>
        <w:rPr>
          <w:rFonts w:ascii="宋体" w:hAnsi="宋体" w:eastAsia="宋体" w:cs="宋体"/>
          <w:sz w:val="24"/>
        </w:rPr>
      </w:pPr>
      <w:r>
        <w:rPr>
          <w:rFonts w:ascii="宋体" w:hAnsi="宋体" w:eastAsia="宋体" w:cs="宋体"/>
          <w:sz w:val="24"/>
        </w:rPr>
        <w:t>16.1响应文件提交</w:t>
      </w:r>
    </w:p>
    <w:p w14:paraId="00434CF9">
      <w:pPr>
        <w:spacing w:line="360" w:lineRule="auto"/>
        <w:ind w:firstLine="480" w:firstLineChars="200"/>
        <w:jc w:val="left"/>
        <w:rPr>
          <w:rFonts w:ascii="宋体" w:hAnsi="宋体" w:eastAsia="宋体" w:cs="宋体"/>
          <w:sz w:val="24"/>
        </w:rPr>
      </w:pPr>
      <w:r>
        <w:rPr>
          <w:rFonts w:ascii="宋体" w:hAnsi="宋体" w:eastAsia="宋体" w:cs="宋体"/>
          <w:sz w:val="24"/>
        </w:rPr>
        <w:t>16.1.1供应商须在磋商文件规定的截止时间前，通过响应文件编制软件或登录电子交易平台在规定时间内完成提交，提交成功后系统将发送回执。</w:t>
      </w:r>
      <w:r>
        <w:rPr>
          <w:rFonts w:ascii="宋体" w:hAnsi="宋体" w:eastAsia="宋体" w:cs="宋体"/>
          <w:b/>
          <w:bCs/>
          <w:sz w:val="24"/>
          <w:u w:val="single"/>
        </w:rPr>
        <w:t>时间以电子交易平台时间为准</w:t>
      </w:r>
      <w:r>
        <w:rPr>
          <w:rFonts w:ascii="宋体" w:hAnsi="宋体" w:eastAsia="宋体" w:cs="宋体"/>
          <w:sz w:val="24"/>
        </w:rPr>
        <w:t>。</w:t>
      </w:r>
    </w:p>
    <w:p w14:paraId="30EC91C6">
      <w:pPr>
        <w:spacing w:line="360" w:lineRule="auto"/>
        <w:ind w:firstLine="482" w:firstLineChars="200"/>
        <w:jc w:val="left"/>
        <w:rPr>
          <w:rFonts w:ascii="宋体" w:hAnsi="宋体" w:eastAsia="宋体" w:cs="宋体"/>
          <w:b/>
          <w:bCs/>
          <w:sz w:val="24"/>
          <w:u w:val="single"/>
        </w:rPr>
      </w:pPr>
      <w:r>
        <w:rPr>
          <w:rFonts w:ascii="宋体" w:hAnsi="宋体" w:eastAsia="宋体" w:cs="宋体"/>
          <w:b/>
          <w:bCs/>
          <w:sz w:val="24"/>
          <w:u w:val="single"/>
        </w:rPr>
        <w:t>16.1.2截止时间以后传输的响应文件，电子交易平台将拒绝接收。供应商应充分考虑网络环境、网络带宽等风险因素。</w:t>
      </w:r>
    </w:p>
    <w:p w14:paraId="7EA11DF0">
      <w:pPr>
        <w:spacing w:line="360" w:lineRule="auto"/>
        <w:ind w:firstLine="482" w:firstLineChars="200"/>
        <w:jc w:val="left"/>
        <w:rPr>
          <w:rFonts w:ascii="宋体" w:hAnsi="宋体" w:eastAsia="宋体" w:cs="宋体"/>
          <w:b/>
          <w:bCs/>
          <w:sz w:val="24"/>
          <w:u w:val="single"/>
        </w:rPr>
      </w:pPr>
      <w:r>
        <w:rPr>
          <w:rFonts w:ascii="宋体" w:hAnsi="宋体" w:eastAsia="宋体" w:cs="宋体"/>
          <w:b/>
          <w:bCs/>
          <w:sz w:val="24"/>
          <w:u w:val="single"/>
        </w:rPr>
        <w:t>16.1.3提交完成后至解密前，供应商不能对加密响应文件时所使用的数字认证证书进行更新、续费，否则可能引起的响应文件解密失败等相关后果由供应商自行承担。</w:t>
      </w:r>
    </w:p>
    <w:p w14:paraId="06067395">
      <w:pPr>
        <w:spacing w:line="360" w:lineRule="auto"/>
        <w:ind w:firstLine="480" w:firstLineChars="200"/>
        <w:jc w:val="left"/>
        <w:rPr>
          <w:rFonts w:ascii="宋体" w:hAnsi="宋体" w:eastAsia="宋体" w:cs="宋体"/>
          <w:sz w:val="24"/>
        </w:rPr>
      </w:pPr>
      <w:r>
        <w:rPr>
          <w:rFonts w:ascii="宋体" w:hAnsi="宋体" w:eastAsia="宋体" w:cs="宋体"/>
          <w:sz w:val="24"/>
        </w:rPr>
        <w:t>16.1.4因不可抗力事件造成的响应文件的损坏、丢失的，磋商组织方不承担责任。</w:t>
      </w:r>
    </w:p>
    <w:p w14:paraId="734C7415">
      <w:pPr>
        <w:spacing w:line="360" w:lineRule="auto"/>
        <w:ind w:firstLine="480" w:firstLineChars="200"/>
        <w:jc w:val="left"/>
        <w:rPr>
          <w:rFonts w:ascii="宋体" w:hAnsi="宋体" w:eastAsia="宋体" w:cs="宋体"/>
          <w:sz w:val="24"/>
        </w:rPr>
      </w:pPr>
      <w:r>
        <w:rPr>
          <w:rFonts w:ascii="宋体" w:hAnsi="宋体" w:eastAsia="宋体" w:cs="宋体"/>
          <w:sz w:val="24"/>
        </w:rPr>
        <w:t>16.2磋商组织方可以通过修改磋商文件自行酌情延长截止时间，在此情况下，推迟提交截止时间将以书面形式通知已获取磋商文件的潜在供应商，并在“</w:t>
      </w:r>
      <w:r>
        <w:rPr>
          <w:rFonts w:hint="eastAsia" w:ascii="宋体" w:hAnsi="宋体"/>
          <w:sz w:val="24"/>
        </w:rPr>
        <w:t>江苏省政府采购网</w:t>
      </w:r>
      <w:r>
        <w:rPr>
          <w:rFonts w:ascii="宋体" w:hAnsi="宋体" w:eastAsia="宋体" w:cs="宋体"/>
          <w:sz w:val="24"/>
        </w:rPr>
        <w:t>"上发布公告。供应商应及时自行登录系统查看相应内容。</w:t>
      </w:r>
    </w:p>
    <w:p w14:paraId="570E4AE1">
      <w:pPr>
        <w:pStyle w:val="5"/>
        <w:spacing w:line="360" w:lineRule="auto"/>
        <w:rPr>
          <w:rFonts w:ascii="宋体" w:hAnsi="宋体" w:eastAsia="宋体" w:cs="宋体"/>
          <w:sz w:val="24"/>
        </w:rPr>
      </w:pPr>
      <w:bookmarkStart w:id="43" w:name="_Toc11159"/>
      <w:r>
        <w:rPr>
          <w:rFonts w:ascii="宋体" w:hAnsi="宋体" w:eastAsia="宋体" w:cs="宋体"/>
          <w:sz w:val="24"/>
        </w:rPr>
        <w:t>17.响应文件的补充、修改或者撤回</w:t>
      </w:r>
      <w:bookmarkEnd w:id="43"/>
    </w:p>
    <w:p w14:paraId="03567075">
      <w:pPr>
        <w:spacing w:line="360" w:lineRule="auto"/>
        <w:ind w:firstLine="480" w:firstLineChars="200"/>
        <w:jc w:val="left"/>
        <w:rPr>
          <w:rFonts w:ascii="宋体" w:hAnsi="宋体" w:eastAsia="宋体" w:cs="宋体"/>
          <w:sz w:val="24"/>
        </w:rPr>
      </w:pPr>
      <w:r>
        <w:rPr>
          <w:rFonts w:ascii="宋体" w:hAnsi="宋体" w:eastAsia="宋体" w:cs="宋体"/>
          <w:sz w:val="24"/>
        </w:rPr>
        <w:t>17.1在提交截止时间前，供应商可以</w:t>
      </w:r>
      <w:r>
        <w:rPr>
          <w:rFonts w:hint="eastAsia" w:ascii="宋体" w:hAnsi="宋体" w:eastAsia="宋体" w:cs="宋体"/>
          <w:sz w:val="24"/>
        </w:rPr>
        <w:t>重新上传电子响应文件或</w:t>
      </w:r>
      <w:r>
        <w:rPr>
          <w:rFonts w:ascii="宋体" w:hAnsi="宋体" w:eastAsia="宋体" w:cs="宋体"/>
          <w:sz w:val="24"/>
        </w:rPr>
        <w:t>对所提交的电子响应文件进行撤回。</w:t>
      </w:r>
    </w:p>
    <w:p w14:paraId="2624E17E">
      <w:pPr>
        <w:spacing w:line="360" w:lineRule="auto"/>
        <w:ind w:firstLine="480" w:firstLineChars="200"/>
        <w:jc w:val="left"/>
        <w:rPr>
          <w:rFonts w:ascii="宋体" w:hAnsi="宋体" w:eastAsia="宋体" w:cs="宋体"/>
          <w:sz w:val="24"/>
        </w:rPr>
      </w:pPr>
      <w:r>
        <w:rPr>
          <w:rFonts w:ascii="宋体" w:hAnsi="宋体" w:eastAsia="宋体" w:cs="宋体"/>
          <w:sz w:val="24"/>
        </w:rPr>
        <w:t>17.2在提交截止时间之后，供应商不得对其响应文件作任何修改或撤回。</w:t>
      </w:r>
    </w:p>
    <w:p w14:paraId="6FEB5FF5">
      <w:pPr>
        <w:spacing w:line="360" w:lineRule="auto"/>
        <w:ind w:firstLine="480" w:firstLineChars="200"/>
        <w:jc w:val="left"/>
        <w:rPr>
          <w:rFonts w:ascii="宋体" w:hAnsi="宋体" w:eastAsia="宋体" w:cs="宋体"/>
          <w:sz w:val="24"/>
        </w:rPr>
      </w:pPr>
      <w:r>
        <w:rPr>
          <w:rFonts w:ascii="宋体" w:hAnsi="宋体" w:eastAsia="宋体" w:cs="宋体"/>
          <w:sz w:val="24"/>
        </w:rPr>
        <w:t>17.3在提交截止时间至磋商文件中规定的磋商有效期满之间，供应商不得撤回其响应</w:t>
      </w:r>
      <w:r>
        <w:rPr>
          <w:rFonts w:hint="eastAsia" w:ascii="宋体" w:hAnsi="宋体" w:eastAsia="宋体" w:cs="宋体"/>
          <w:sz w:val="24"/>
        </w:rPr>
        <w:t>文件</w:t>
      </w:r>
      <w:r>
        <w:rPr>
          <w:rFonts w:ascii="宋体" w:hAnsi="宋体" w:eastAsia="宋体" w:cs="宋体"/>
          <w:sz w:val="24"/>
        </w:rPr>
        <w:t>。</w:t>
      </w:r>
    </w:p>
    <w:p w14:paraId="33CD3B42">
      <w:pPr>
        <w:pStyle w:val="4"/>
        <w:spacing w:before="405" w:beforeLines="130" w:after="405" w:afterLines="130" w:line="360" w:lineRule="auto"/>
        <w:jc w:val="center"/>
      </w:pPr>
      <w:bookmarkStart w:id="44" w:name="_Toc29647"/>
      <w:r>
        <w:t>四、磋商与评审</w:t>
      </w:r>
      <w:bookmarkEnd w:id="44"/>
    </w:p>
    <w:p w14:paraId="04580BD5">
      <w:pPr>
        <w:pStyle w:val="5"/>
        <w:spacing w:line="360" w:lineRule="auto"/>
        <w:rPr>
          <w:rFonts w:ascii="宋体" w:hAnsi="宋体" w:eastAsia="宋体" w:cs="宋体"/>
          <w:sz w:val="24"/>
        </w:rPr>
      </w:pPr>
      <w:bookmarkStart w:id="45" w:name="_Toc15528"/>
      <w:r>
        <w:rPr>
          <w:rFonts w:ascii="宋体" w:hAnsi="宋体" w:eastAsia="宋体" w:cs="宋体"/>
          <w:sz w:val="24"/>
        </w:rPr>
        <w:t>18.磋商</w:t>
      </w:r>
      <w:bookmarkEnd w:id="45"/>
    </w:p>
    <w:p w14:paraId="40CA935D">
      <w:pPr>
        <w:spacing w:line="360" w:lineRule="auto"/>
        <w:ind w:firstLine="480" w:firstLineChars="200"/>
        <w:jc w:val="left"/>
        <w:rPr>
          <w:rFonts w:ascii="宋体" w:hAnsi="宋体" w:eastAsia="宋体" w:cs="宋体"/>
          <w:sz w:val="24"/>
        </w:rPr>
      </w:pPr>
      <w:r>
        <w:rPr>
          <w:rFonts w:ascii="宋体" w:hAnsi="宋体" w:eastAsia="宋体" w:cs="宋体"/>
          <w:sz w:val="24"/>
        </w:rPr>
        <w:t>18.1供应商应当在磋商前做好充分准备，携带CA数字证书准时参加磋商。</w:t>
      </w:r>
    </w:p>
    <w:p w14:paraId="36843E56">
      <w:pPr>
        <w:spacing w:line="360" w:lineRule="auto"/>
        <w:ind w:firstLine="480" w:firstLineChars="200"/>
        <w:jc w:val="left"/>
        <w:rPr>
          <w:rFonts w:ascii="宋体" w:hAnsi="宋体" w:eastAsia="宋体" w:cs="宋体"/>
          <w:sz w:val="24"/>
        </w:rPr>
      </w:pPr>
      <w:r>
        <w:rPr>
          <w:rFonts w:ascii="宋体" w:hAnsi="宋体" w:eastAsia="宋体" w:cs="宋体"/>
          <w:sz w:val="24"/>
        </w:rPr>
        <w:t>18.2供应商不足3家，不进入解密程序。</w:t>
      </w:r>
    </w:p>
    <w:p w14:paraId="0A584422">
      <w:pPr>
        <w:spacing w:line="360" w:lineRule="auto"/>
        <w:ind w:firstLine="480" w:firstLineChars="200"/>
        <w:jc w:val="left"/>
        <w:rPr>
          <w:rFonts w:ascii="宋体" w:hAnsi="宋体" w:eastAsia="宋体" w:cs="宋体"/>
          <w:sz w:val="24"/>
        </w:rPr>
      </w:pPr>
      <w:r>
        <w:rPr>
          <w:rFonts w:ascii="宋体" w:hAnsi="宋体" w:eastAsia="宋体" w:cs="宋体"/>
          <w:sz w:val="24"/>
        </w:rPr>
        <w:t>18.3磋商时，磋商组织方将在系统内公布供应商名单，发出解密的指令，供应商自行实施解密，限定在主持人发布解密指令后</w:t>
      </w:r>
      <w:r>
        <w:rPr>
          <w:rFonts w:hint="eastAsia" w:ascii="宋体" w:hAnsi="宋体" w:eastAsia="宋体" w:cs="宋体"/>
          <w:sz w:val="24"/>
        </w:rPr>
        <w:t>30</w:t>
      </w:r>
      <w:r>
        <w:rPr>
          <w:rFonts w:ascii="宋体" w:hAnsi="宋体" w:eastAsia="宋体" w:cs="宋体"/>
          <w:sz w:val="24"/>
        </w:rPr>
        <w:t>分钟内完成。解密时，供应商必须使用与制作响应文件时同一数字认证证书对响应文件进行解密，否则解密将会失败。</w:t>
      </w:r>
    </w:p>
    <w:p w14:paraId="773A8C7D">
      <w:pPr>
        <w:spacing w:line="360" w:lineRule="auto"/>
        <w:ind w:firstLine="480" w:firstLineChars="200"/>
        <w:jc w:val="left"/>
        <w:rPr>
          <w:rFonts w:ascii="宋体" w:hAnsi="宋体" w:eastAsia="宋体" w:cs="宋体"/>
          <w:sz w:val="24"/>
        </w:rPr>
      </w:pPr>
      <w:r>
        <w:rPr>
          <w:rFonts w:ascii="宋体" w:hAnsi="宋体" w:eastAsia="宋体" w:cs="宋体"/>
          <w:sz w:val="24"/>
        </w:rPr>
        <w:t>18.4因供应商原因造成响应文件未解密或解密失败或无法正常打开响应文件的，磋商组织方将拒绝其响应。部分供应商的响应文件未解密或解密失败的，程序可以继续进行。若解密成功的供应商不足三家，不进入后续程序。</w:t>
      </w:r>
    </w:p>
    <w:p w14:paraId="1C2C83D5">
      <w:pPr>
        <w:spacing w:line="360" w:lineRule="auto"/>
        <w:ind w:firstLine="480" w:firstLineChars="200"/>
        <w:jc w:val="left"/>
        <w:rPr>
          <w:rFonts w:ascii="宋体" w:hAnsi="宋体" w:eastAsia="宋体" w:cs="宋体"/>
          <w:sz w:val="24"/>
        </w:rPr>
      </w:pPr>
      <w:r>
        <w:rPr>
          <w:rFonts w:ascii="宋体" w:hAnsi="宋体" w:eastAsia="宋体" w:cs="宋体"/>
          <w:sz w:val="24"/>
        </w:rPr>
        <w:t>18.5本项目在限定的解密时间内，只要有任一家供应商解密成功，即视为电子交易平台运行无故障。</w:t>
      </w:r>
    </w:p>
    <w:p w14:paraId="574F2CE1">
      <w:pPr>
        <w:spacing w:line="360" w:lineRule="auto"/>
        <w:ind w:firstLine="480" w:firstLineChars="200"/>
        <w:jc w:val="left"/>
        <w:rPr>
          <w:rFonts w:ascii="宋体" w:hAnsi="宋体" w:eastAsia="宋体" w:cs="宋体"/>
          <w:sz w:val="24"/>
        </w:rPr>
      </w:pPr>
      <w:r>
        <w:rPr>
          <w:rFonts w:ascii="宋体" w:hAnsi="宋体" w:eastAsia="宋体" w:cs="宋体"/>
          <w:sz w:val="24"/>
        </w:rPr>
        <w:t>18.6供应商须配合磋商工作，否则自行承担后果。</w:t>
      </w:r>
    </w:p>
    <w:p w14:paraId="13798E2E">
      <w:pPr>
        <w:pStyle w:val="5"/>
        <w:spacing w:line="360" w:lineRule="auto"/>
        <w:rPr>
          <w:rFonts w:ascii="宋体" w:hAnsi="宋体" w:eastAsia="宋体" w:cs="宋体"/>
          <w:sz w:val="24"/>
        </w:rPr>
      </w:pPr>
      <w:bookmarkStart w:id="46" w:name="_Toc13451"/>
      <w:r>
        <w:rPr>
          <w:rFonts w:ascii="宋体" w:hAnsi="宋体" w:eastAsia="宋体" w:cs="宋体"/>
          <w:sz w:val="24"/>
        </w:rPr>
        <w:t>19.磋商小组组成</w:t>
      </w:r>
      <w:bookmarkEnd w:id="46"/>
    </w:p>
    <w:p w14:paraId="6987211C">
      <w:pPr>
        <w:spacing w:line="360" w:lineRule="auto"/>
        <w:ind w:firstLine="480" w:firstLineChars="200"/>
        <w:jc w:val="left"/>
        <w:rPr>
          <w:rFonts w:ascii="宋体" w:hAnsi="宋体" w:eastAsia="宋体" w:cs="宋体"/>
          <w:sz w:val="24"/>
        </w:rPr>
      </w:pPr>
      <w:r>
        <w:rPr>
          <w:rFonts w:ascii="宋体" w:hAnsi="宋体" w:eastAsia="宋体" w:cs="宋体"/>
          <w:sz w:val="24"/>
        </w:rPr>
        <w:t>19.1磋商小组将由采购人代表和评审专家组成，成员人数为3人或3人以上单数。</w:t>
      </w:r>
    </w:p>
    <w:p w14:paraId="000E2B7B">
      <w:pPr>
        <w:pStyle w:val="5"/>
        <w:spacing w:line="360" w:lineRule="auto"/>
        <w:rPr>
          <w:rFonts w:ascii="宋体" w:hAnsi="宋体" w:eastAsia="宋体" w:cs="宋体"/>
          <w:sz w:val="24"/>
        </w:rPr>
      </w:pPr>
      <w:bookmarkStart w:id="47" w:name="_Toc28875"/>
      <w:r>
        <w:rPr>
          <w:rFonts w:ascii="宋体" w:hAnsi="宋体" w:eastAsia="宋体" w:cs="宋体"/>
          <w:sz w:val="24"/>
        </w:rPr>
        <w:t>20.无效磋商的情形</w:t>
      </w:r>
      <w:bookmarkEnd w:id="47"/>
    </w:p>
    <w:p w14:paraId="2C441CF0">
      <w:pPr>
        <w:spacing w:line="360" w:lineRule="auto"/>
        <w:ind w:firstLine="480" w:firstLineChars="200"/>
        <w:jc w:val="left"/>
        <w:rPr>
          <w:rFonts w:ascii="宋体" w:hAnsi="宋体" w:eastAsia="宋体" w:cs="宋体"/>
          <w:sz w:val="24"/>
        </w:rPr>
      </w:pPr>
      <w:r>
        <w:rPr>
          <w:rFonts w:hint="eastAsia" w:ascii="宋体" w:hAnsi="宋体" w:eastAsia="宋体" w:cs="宋体"/>
          <w:sz w:val="24"/>
          <w:lang w:val="en-US" w:eastAsia="zh-CN"/>
        </w:rPr>
        <w:t>20.1</w:t>
      </w:r>
      <w:r>
        <w:rPr>
          <w:rFonts w:ascii="宋体" w:hAnsi="宋体" w:eastAsia="宋体" w:cs="宋体"/>
          <w:sz w:val="24"/>
        </w:rPr>
        <w:t>供应商存在下列情况之一的，其磋商无效：</w:t>
      </w:r>
    </w:p>
    <w:p w14:paraId="4C16EB91">
      <w:pPr>
        <w:spacing w:line="360" w:lineRule="auto"/>
        <w:ind w:firstLine="480" w:firstLineChars="200"/>
        <w:jc w:val="left"/>
        <w:rPr>
          <w:rFonts w:ascii="宋体" w:hAnsi="宋体" w:eastAsia="宋体" w:cs="宋体"/>
          <w:sz w:val="24"/>
        </w:rPr>
      </w:pPr>
      <w:r>
        <w:rPr>
          <w:rFonts w:ascii="宋体" w:hAnsi="宋体" w:eastAsia="宋体" w:cs="宋体"/>
          <w:sz w:val="24"/>
        </w:rPr>
        <w:t>(1)响应文件未按磋商文件要求签署、盖章的；</w:t>
      </w:r>
    </w:p>
    <w:p w14:paraId="2658055A">
      <w:pPr>
        <w:spacing w:line="360" w:lineRule="auto"/>
        <w:ind w:firstLine="480" w:firstLineChars="200"/>
        <w:jc w:val="left"/>
        <w:rPr>
          <w:rFonts w:ascii="宋体" w:hAnsi="宋体" w:eastAsia="宋体" w:cs="宋体"/>
          <w:sz w:val="24"/>
        </w:rPr>
      </w:pPr>
      <w:r>
        <w:rPr>
          <w:rFonts w:ascii="宋体" w:hAnsi="宋体" w:eastAsia="宋体" w:cs="宋体"/>
          <w:sz w:val="24"/>
        </w:rPr>
        <w:t>(2)不具备磋商文件中规定的资格要求的；</w:t>
      </w:r>
    </w:p>
    <w:p w14:paraId="19D201D9">
      <w:pPr>
        <w:spacing w:line="360" w:lineRule="auto"/>
        <w:ind w:firstLine="480" w:firstLineChars="200"/>
        <w:jc w:val="left"/>
        <w:rPr>
          <w:rFonts w:ascii="宋体" w:hAnsi="宋体" w:eastAsia="宋体" w:cs="宋体"/>
          <w:sz w:val="24"/>
        </w:rPr>
      </w:pPr>
      <w:r>
        <w:rPr>
          <w:rFonts w:ascii="宋体" w:hAnsi="宋体" w:eastAsia="宋体" w:cs="宋体"/>
          <w:sz w:val="24"/>
        </w:rPr>
        <w:t>(3)在磋商过程中未对磋商内容作出实质性变更、修改的情况下，首轮报价或最终报价超过磋商文件中规定的预算金额或最高限价的；</w:t>
      </w:r>
    </w:p>
    <w:p w14:paraId="289DA57E">
      <w:pPr>
        <w:spacing w:line="360" w:lineRule="auto"/>
        <w:ind w:firstLine="480" w:firstLineChars="200"/>
        <w:jc w:val="left"/>
        <w:rPr>
          <w:rFonts w:ascii="宋体" w:hAnsi="宋体" w:eastAsia="宋体" w:cs="宋体"/>
          <w:sz w:val="24"/>
        </w:rPr>
      </w:pPr>
      <w:r>
        <w:rPr>
          <w:rFonts w:ascii="宋体" w:hAnsi="宋体" w:eastAsia="宋体" w:cs="宋体"/>
          <w:sz w:val="24"/>
        </w:rPr>
        <w:t>(4)响应文件含有采购人不能接受的附加条件的；</w:t>
      </w:r>
    </w:p>
    <w:p w14:paraId="42E2AD70">
      <w:pPr>
        <w:spacing w:line="360" w:lineRule="auto"/>
        <w:ind w:firstLine="480" w:firstLineChars="200"/>
        <w:jc w:val="left"/>
        <w:rPr>
          <w:rFonts w:ascii="宋体" w:hAnsi="宋体" w:eastAsia="宋体" w:cs="宋体"/>
          <w:sz w:val="24"/>
        </w:rPr>
      </w:pPr>
      <w:r>
        <w:rPr>
          <w:rFonts w:ascii="宋体" w:hAnsi="宋体" w:eastAsia="宋体" w:cs="宋体"/>
          <w:sz w:val="24"/>
        </w:rPr>
        <w:t>(5)不符合法律、法规和磋商文件规定的其它实质性条款(须经磋商小组半数以上同意)</w:t>
      </w:r>
      <w:r>
        <w:rPr>
          <w:rFonts w:hint="eastAsia" w:ascii="宋体" w:hAnsi="宋体" w:eastAsia="宋体" w:cs="宋体"/>
          <w:sz w:val="24"/>
        </w:rPr>
        <w:t>；</w:t>
      </w:r>
    </w:p>
    <w:p w14:paraId="0D24734A">
      <w:pPr>
        <w:spacing w:line="360" w:lineRule="auto"/>
        <w:ind w:firstLine="480" w:firstLineChars="200"/>
        <w:jc w:val="left"/>
        <w:rPr>
          <w:rFonts w:ascii="宋体" w:hAnsi="宋体" w:eastAsia="宋体" w:cs="宋体"/>
          <w:sz w:val="24"/>
        </w:rPr>
      </w:pPr>
      <w:r>
        <w:rPr>
          <w:rFonts w:ascii="宋体" w:hAnsi="宋体" w:eastAsia="宋体" w:cs="宋体"/>
          <w:sz w:val="24"/>
        </w:rPr>
        <w:t>(6)不同供应商的单位负责人为同一人或者存在直接控股、管理关系的；</w:t>
      </w:r>
    </w:p>
    <w:p w14:paraId="4A6789F1">
      <w:pPr>
        <w:spacing w:line="360" w:lineRule="auto"/>
        <w:ind w:firstLine="480" w:firstLineChars="200"/>
        <w:jc w:val="left"/>
        <w:rPr>
          <w:rFonts w:ascii="宋体" w:hAnsi="宋体" w:eastAsia="宋体" w:cs="宋体"/>
          <w:sz w:val="24"/>
        </w:rPr>
      </w:pPr>
      <w:r>
        <w:rPr>
          <w:rFonts w:ascii="宋体" w:hAnsi="宋体" w:eastAsia="宋体" w:cs="宋体"/>
          <w:sz w:val="24"/>
        </w:rPr>
        <w:t>(7)“信用中国”网站</w:t>
      </w:r>
      <w:r>
        <w:rPr>
          <w:rFonts w:hint="eastAsia" w:ascii="宋体" w:hAnsi="宋体" w:eastAsia="宋体" w:cs="宋体"/>
          <w:sz w:val="24"/>
        </w:rPr>
        <w:t>（</w:t>
      </w:r>
      <w:r>
        <w:rPr>
          <w:rFonts w:ascii="宋体" w:hAnsi="宋体" w:eastAsia="宋体" w:cs="宋体"/>
          <w:sz w:val="24"/>
        </w:rPr>
        <w:t>www.creditchina.gov.cn</w:t>
      </w:r>
      <w:r>
        <w:rPr>
          <w:rFonts w:hint="eastAsia" w:ascii="宋体" w:hAnsi="宋体" w:eastAsia="宋体" w:cs="宋体"/>
          <w:sz w:val="24"/>
        </w:rPr>
        <w:t>）</w:t>
      </w:r>
      <w:r>
        <w:rPr>
          <w:rFonts w:ascii="宋体" w:hAnsi="宋体" w:eastAsia="宋体" w:cs="宋体"/>
          <w:sz w:val="24"/>
        </w:rPr>
        <w:t>、中国政府采购网</w:t>
      </w:r>
      <w:r>
        <w:rPr>
          <w:rFonts w:hint="eastAsia" w:ascii="宋体" w:hAnsi="宋体" w:eastAsia="宋体" w:cs="宋体"/>
          <w:sz w:val="24"/>
        </w:rPr>
        <w:t>（</w:t>
      </w:r>
      <w:r>
        <w:rPr>
          <w:rFonts w:ascii="宋体" w:hAnsi="宋体" w:eastAsia="宋体" w:cs="宋体"/>
          <w:sz w:val="24"/>
        </w:rPr>
        <w:t>www.ccgp.gov.cn)、“信用江苏”网站</w:t>
      </w:r>
      <w:r>
        <w:rPr>
          <w:rFonts w:hint="eastAsia" w:ascii="宋体" w:hAnsi="宋体" w:eastAsia="宋体" w:cs="宋体"/>
          <w:sz w:val="24"/>
        </w:rPr>
        <w:t>（</w:t>
      </w:r>
      <w:r>
        <w:rPr>
          <w:rFonts w:ascii="宋体" w:hAnsi="宋体" w:eastAsia="宋体" w:cs="宋体"/>
          <w:sz w:val="24"/>
        </w:rPr>
        <w:t>http://www.jscredit.gov.cn</w:t>
      </w:r>
      <w:r>
        <w:rPr>
          <w:rFonts w:hint="eastAsia" w:ascii="宋体" w:hAnsi="宋体" w:eastAsia="宋体" w:cs="宋体"/>
          <w:sz w:val="24"/>
        </w:rPr>
        <w:t>）</w:t>
      </w:r>
      <w:r>
        <w:rPr>
          <w:rFonts w:ascii="宋体" w:hAnsi="宋体" w:eastAsia="宋体" w:cs="宋体"/>
          <w:sz w:val="24"/>
        </w:rPr>
        <w:t>查询结果为失信被执行人名单、重大税收违法案件当事人名单、政府采购严重违法失信行为名单的；</w:t>
      </w:r>
    </w:p>
    <w:p w14:paraId="0123B4E7">
      <w:pPr>
        <w:spacing w:line="360" w:lineRule="auto"/>
        <w:ind w:firstLine="480" w:firstLineChars="200"/>
        <w:jc w:val="left"/>
        <w:rPr>
          <w:rFonts w:ascii="宋体" w:hAnsi="宋体" w:eastAsia="宋体" w:cs="宋体"/>
          <w:sz w:val="24"/>
        </w:rPr>
      </w:pPr>
      <w:r>
        <w:rPr>
          <w:rFonts w:ascii="宋体" w:hAnsi="宋体" w:eastAsia="宋体" w:cs="宋体"/>
          <w:sz w:val="24"/>
        </w:rPr>
        <w:t>(8)磋商小组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51DFA6EF">
      <w:pPr>
        <w:spacing w:line="360" w:lineRule="auto"/>
        <w:ind w:firstLine="480" w:firstLineChars="200"/>
        <w:jc w:val="left"/>
        <w:rPr>
          <w:rFonts w:ascii="宋体" w:hAnsi="宋体" w:eastAsia="宋体" w:cs="宋体"/>
          <w:sz w:val="24"/>
        </w:rPr>
      </w:pPr>
      <w:r>
        <w:rPr>
          <w:rFonts w:ascii="宋体" w:hAnsi="宋体" w:eastAsia="宋体" w:cs="宋体"/>
          <w:sz w:val="24"/>
        </w:rPr>
        <w:t>(9)响应文件中提供了虚假或失实资料的；</w:t>
      </w:r>
    </w:p>
    <w:p w14:paraId="0C13EE54">
      <w:pPr>
        <w:spacing w:line="360" w:lineRule="auto"/>
        <w:ind w:firstLine="480" w:firstLineChars="200"/>
        <w:jc w:val="left"/>
        <w:rPr>
          <w:rFonts w:ascii="宋体" w:hAnsi="宋体" w:eastAsia="宋体" w:cs="宋体"/>
          <w:sz w:val="24"/>
        </w:rPr>
      </w:pPr>
      <w:r>
        <w:rPr>
          <w:rFonts w:ascii="宋体" w:hAnsi="宋体" w:eastAsia="宋体" w:cs="宋体"/>
          <w:sz w:val="24"/>
        </w:rPr>
        <w:t>(10)不同供应商的响应文件出现了磋商小组认为不应当雷同的；</w:t>
      </w:r>
    </w:p>
    <w:p w14:paraId="73AAC0BD">
      <w:pPr>
        <w:spacing w:line="360" w:lineRule="auto"/>
        <w:ind w:firstLine="480" w:firstLineChars="200"/>
        <w:jc w:val="left"/>
        <w:rPr>
          <w:rFonts w:ascii="宋体" w:hAnsi="宋体" w:eastAsia="宋体" w:cs="宋体"/>
          <w:sz w:val="24"/>
        </w:rPr>
      </w:pPr>
      <w:r>
        <w:rPr>
          <w:rFonts w:ascii="宋体" w:hAnsi="宋体" w:eastAsia="宋体" w:cs="宋体"/>
          <w:sz w:val="24"/>
        </w:rPr>
        <w:t>(11)供应商存在串通磋商情形的；</w:t>
      </w:r>
    </w:p>
    <w:p w14:paraId="78B103A6">
      <w:pPr>
        <w:spacing w:line="360" w:lineRule="auto"/>
        <w:ind w:firstLine="480" w:firstLineChars="200"/>
        <w:jc w:val="left"/>
        <w:rPr>
          <w:rFonts w:ascii="宋体" w:hAnsi="宋体" w:eastAsia="宋体" w:cs="宋体"/>
          <w:sz w:val="24"/>
        </w:rPr>
      </w:pPr>
      <w:r>
        <w:rPr>
          <w:rFonts w:ascii="宋体" w:hAnsi="宋体" w:eastAsia="宋体" w:cs="宋体"/>
          <w:sz w:val="24"/>
        </w:rPr>
        <w:t>(12)未在提交截止时间前提交有效加密文件的；由于供应商原因，未在规定时间内对响应文件进行有效解密的；</w:t>
      </w:r>
    </w:p>
    <w:p w14:paraId="7CC95365">
      <w:pPr>
        <w:spacing w:line="360" w:lineRule="auto"/>
        <w:ind w:firstLine="480" w:firstLineChars="200"/>
        <w:jc w:val="left"/>
        <w:rPr>
          <w:rFonts w:hint="eastAsia" w:ascii="宋体" w:hAnsi="宋体" w:eastAsia="宋体" w:cs="宋体"/>
          <w:sz w:val="24"/>
        </w:rPr>
      </w:pPr>
      <w:r>
        <w:rPr>
          <w:rFonts w:ascii="宋体" w:hAnsi="宋体" w:eastAsia="宋体" w:cs="宋体"/>
          <w:sz w:val="24"/>
        </w:rPr>
        <w:t>(13)项目服务期有负偏离的</w:t>
      </w:r>
      <w:r>
        <w:rPr>
          <w:rFonts w:hint="eastAsia" w:ascii="宋体" w:hAnsi="宋体" w:eastAsia="宋体" w:cs="宋体"/>
          <w:sz w:val="24"/>
        </w:rPr>
        <w:t>。</w:t>
      </w:r>
    </w:p>
    <w:p w14:paraId="6DD91373">
      <w:pPr>
        <w:spacing w:line="360" w:lineRule="auto"/>
        <w:ind w:firstLine="480" w:firstLineChars="200"/>
        <w:jc w:val="left"/>
        <w:rPr>
          <w:rFonts w:hint="default" w:ascii="宋体" w:hAnsi="宋体" w:eastAsia="宋体" w:cs="宋体"/>
          <w:b w:val="0"/>
          <w:bCs/>
          <w:color w:val="0000FF"/>
          <w:sz w:val="24"/>
          <w:u w:val="none"/>
          <w:lang w:val="en-US" w:eastAsia="zh-CN"/>
        </w:rPr>
      </w:pPr>
      <w:r>
        <w:rPr>
          <w:rFonts w:hint="eastAsia" w:ascii="宋体" w:hAnsi="宋体" w:eastAsia="宋体" w:cs="宋体"/>
          <w:sz w:val="24"/>
          <w:lang w:val="en-US" w:eastAsia="zh-CN"/>
        </w:rPr>
        <w:t>20.2</w:t>
      </w:r>
      <w:r>
        <w:rPr>
          <w:rFonts w:hint="eastAsia" w:ascii="宋体" w:hAnsi="宋体" w:eastAsia="宋体" w:cs="宋体"/>
          <w:sz w:val="24"/>
        </w:rPr>
        <w:t>符合磋商文件“磋</w:t>
      </w:r>
      <w:r>
        <w:rPr>
          <w:rFonts w:hint="eastAsia" w:ascii="宋体" w:hAnsi="宋体" w:eastAsia="宋体" w:cs="宋体"/>
          <w:b w:val="0"/>
          <w:bCs/>
          <w:color w:val="0000FF"/>
          <w:sz w:val="24"/>
          <w:u w:val="none"/>
        </w:rPr>
        <w:t>商及评审”中“磋商响应文件的有效性、完整性和响应程度审查”中规定</w:t>
      </w:r>
      <w:r>
        <w:rPr>
          <w:rFonts w:hint="eastAsia" w:ascii="宋体" w:hAnsi="宋体" w:eastAsia="宋体" w:cs="宋体"/>
          <w:b w:val="0"/>
          <w:bCs/>
          <w:color w:val="0000FF"/>
          <w:sz w:val="24"/>
          <w:u w:val="none"/>
          <w:lang w:val="en-US" w:eastAsia="zh-CN"/>
        </w:rPr>
        <w:t>关于推动解决政府采购异常低价问题的通知财库〔2026〕2号文：</w:t>
      </w:r>
    </w:p>
    <w:p w14:paraId="49A04A86">
      <w:pPr>
        <w:spacing w:line="360" w:lineRule="auto"/>
        <w:ind w:firstLine="480" w:firstLineChars="200"/>
        <w:rPr>
          <w:rFonts w:hint="eastAsia" w:ascii="宋体" w:hAnsi="宋体" w:eastAsia="宋体" w:cs="宋体"/>
          <w:b w:val="0"/>
          <w:bCs/>
          <w:color w:val="0000FF"/>
          <w:sz w:val="24"/>
          <w:u w:val="none"/>
        </w:rPr>
      </w:pPr>
      <w:r>
        <w:rPr>
          <w:rFonts w:hint="eastAsia" w:ascii="宋体" w:hAnsi="宋体" w:eastAsia="宋体" w:cs="宋体"/>
          <w:b w:val="0"/>
          <w:bCs/>
          <w:color w:val="0000FF"/>
          <w:sz w:val="24"/>
          <w:u w:val="none"/>
          <w:lang w:val="en-US" w:eastAsia="zh-CN"/>
        </w:rPr>
        <w:t>采购人应当在采购文件中明确，政府采购评审中出现下列情形之一的，评审委员会应当启动异常低价投标（响应）审查程序：</w:t>
      </w:r>
    </w:p>
    <w:p w14:paraId="63F52A4B">
      <w:pPr>
        <w:spacing w:line="360" w:lineRule="auto"/>
        <w:ind w:firstLine="480" w:firstLineChars="200"/>
        <w:rPr>
          <w:rFonts w:hint="default" w:ascii="宋体" w:hAnsi="宋体" w:eastAsia="宋体" w:cs="宋体"/>
          <w:b w:val="0"/>
          <w:bCs/>
          <w:color w:val="0000FF"/>
          <w:sz w:val="24"/>
          <w:u w:val="none"/>
        </w:rPr>
      </w:pPr>
      <w:r>
        <w:rPr>
          <w:rFonts w:hint="eastAsia" w:ascii="宋体" w:hAnsi="宋体" w:eastAsia="宋体" w:cs="宋体"/>
          <w:b w:val="0"/>
          <w:bCs/>
          <w:color w:val="0000FF"/>
          <w:sz w:val="24"/>
          <w:u w:val="none"/>
          <w:lang w:val="en-US" w:eastAsia="zh-CN"/>
        </w:rPr>
        <w:t>（1）投标（响应）报价低于全部通过符合性审查供应商投标（响应）报价平均值50%的，即投标（响应）报价&lt;全部通过符合性审查供应商投标（响应）报价平均值×50%；</w:t>
      </w:r>
    </w:p>
    <w:p w14:paraId="7329475E">
      <w:pPr>
        <w:spacing w:line="360" w:lineRule="auto"/>
        <w:ind w:firstLine="480" w:firstLineChars="200"/>
        <w:rPr>
          <w:rFonts w:hint="default" w:ascii="宋体" w:hAnsi="宋体" w:eastAsia="宋体" w:cs="宋体"/>
          <w:b w:val="0"/>
          <w:bCs/>
          <w:color w:val="0000FF"/>
          <w:sz w:val="24"/>
          <w:u w:val="none"/>
        </w:rPr>
      </w:pPr>
      <w:r>
        <w:rPr>
          <w:rFonts w:hint="eastAsia" w:ascii="宋体" w:hAnsi="宋体" w:eastAsia="宋体" w:cs="宋体"/>
          <w:b w:val="0"/>
          <w:bCs/>
          <w:color w:val="0000FF"/>
          <w:sz w:val="24"/>
          <w:u w:val="none"/>
          <w:lang w:val="en-US" w:eastAsia="zh-CN"/>
        </w:rPr>
        <w:t>（2）投标（响应）报价低于通过符合性审查的次低报价供应商投标（响应）报价50%的，即投标（响应）报价&lt;通过符合性审查的次低报价供应商投标（响应）报价×50%；</w:t>
      </w:r>
    </w:p>
    <w:p w14:paraId="3FF1E78B">
      <w:pPr>
        <w:spacing w:line="360" w:lineRule="auto"/>
        <w:ind w:firstLine="480" w:firstLineChars="200"/>
        <w:rPr>
          <w:rFonts w:hint="default" w:ascii="宋体" w:hAnsi="宋体" w:eastAsia="宋体" w:cs="宋体"/>
          <w:b w:val="0"/>
          <w:bCs/>
          <w:color w:val="0000FF"/>
          <w:sz w:val="24"/>
          <w:u w:val="none"/>
        </w:rPr>
      </w:pPr>
      <w:r>
        <w:rPr>
          <w:rFonts w:hint="eastAsia" w:ascii="宋体" w:hAnsi="宋体" w:eastAsia="宋体" w:cs="宋体"/>
          <w:b w:val="0"/>
          <w:bCs/>
          <w:color w:val="0000FF"/>
          <w:sz w:val="24"/>
          <w:u w:val="none"/>
          <w:lang w:val="en-US" w:eastAsia="zh-CN"/>
        </w:rPr>
        <w:t>（3）投标（响应）报价低于采购项目最高限价45%的，即投标（响应）报价&lt;采购项目最高限价×45%；</w:t>
      </w:r>
    </w:p>
    <w:p w14:paraId="3D7A2B4E">
      <w:pPr>
        <w:spacing w:line="360" w:lineRule="auto"/>
        <w:ind w:firstLine="480" w:firstLineChars="200"/>
        <w:rPr>
          <w:rFonts w:hint="default" w:ascii="宋体" w:hAnsi="宋体" w:eastAsia="宋体" w:cs="宋体"/>
          <w:b w:val="0"/>
          <w:bCs/>
          <w:color w:val="0000FF"/>
          <w:sz w:val="24"/>
          <w:u w:val="none"/>
        </w:rPr>
      </w:pPr>
      <w:r>
        <w:rPr>
          <w:rFonts w:hint="eastAsia" w:ascii="宋体" w:hAnsi="宋体" w:eastAsia="宋体" w:cs="宋体"/>
          <w:b w:val="0"/>
          <w:bCs/>
          <w:color w:val="0000FF"/>
          <w:sz w:val="24"/>
          <w:u w:val="none"/>
          <w:lang w:val="en-US" w:eastAsia="zh-CN"/>
        </w:rPr>
        <w:t>（4）评审委员会基于专业判断，认为供应商报价过低，有可能影响产品质量或者不能诚信履约的其他情形。</w:t>
      </w:r>
    </w:p>
    <w:p w14:paraId="16CAD5D8">
      <w:pPr>
        <w:spacing w:line="360" w:lineRule="auto"/>
        <w:ind w:firstLine="480" w:firstLineChars="200"/>
        <w:rPr>
          <w:rFonts w:hint="default" w:ascii="宋体" w:hAnsi="宋体" w:eastAsia="宋体" w:cs="宋体"/>
          <w:b w:val="0"/>
          <w:bCs/>
          <w:color w:val="0000FF"/>
          <w:sz w:val="24"/>
          <w:u w:val="none"/>
        </w:rPr>
      </w:pPr>
      <w:r>
        <w:rPr>
          <w:rFonts w:hint="eastAsia" w:ascii="宋体" w:hAnsi="宋体" w:eastAsia="宋体" w:cs="宋体"/>
          <w:b w:val="0"/>
          <w:bCs/>
          <w:color w:val="0000FF"/>
          <w:sz w:val="24"/>
          <w:u w:val="none"/>
          <w:lang w:val="en-US" w:eastAsia="zh-CN"/>
        </w:rPr>
        <w:t>采购人可以结合具体项目实际情况，提高上述第（1）项至第（3）项中启动异常低价投标（响应）审查的数值标准，但是最高不得超过65%。</w:t>
      </w:r>
    </w:p>
    <w:p w14:paraId="1E692854">
      <w:pPr>
        <w:spacing w:line="360" w:lineRule="auto"/>
        <w:ind w:firstLine="480" w:firstLineChars="200"/>
        <w:rPr>
          <w:rFonts w:hint="default" w:ascii="宋体" w:hAnsi="宋体" w:eastAsia="宋体" w:cs="宋体"/>
          <w:b w:val="0"/>
          <w:bCs/>
          <w:color w:val="0000FF"/>
          <w:sz w:val="24"/>
          <w:u w:val="none"/>
        </w:rPr>
      </w:pPr>
      <w:r>
        <w:rPr>
          <w:rFonts w:hint="eastAsia" w:ascii="宋体" w:hAnsi="宋体" w:eastAsia="宋体" w:cs="宋体"/>
          <w:b w:val="0"/>
          <w:bCs/>
          <w:color w:val="0000FF"/>
          <w:sz w:val="24"/>
          <w:u w:val="none"/>
          <w:lang w:val="en-US" w:eastAsia="zh-CN"/>
        </w:rPr>
        <w:t>相关法律法规对供应商报价有规定的，从其规定。</w:t>
      </w:r>
    </w:p>
    <w:p w14:paraId="45193B3F">
      <w:pPr>
        <w:spacing w:line="360" w:lineRule="auto"/>
        <w:ind w:firstLine="480" w:firstLineChars="200"/>
        <w:rPr>
          <w:rFonts w:hint="default" w:ascii="宋体" w:hAnsi="宋体" w:eastAsia="宋体" w:cs="宋体"/>
          <w:b w:val="0"/>
          <w:bCs/>
          <w:color w:val="0000FF"/>
          <w:sz w:val="24"/>
          <w:u w:val="none"/>
        </w:rPr>
      </w:pPr>
      <w:r>
        <w:rPr>
          <w:rFonts w:hint="eastAsia" w:ascii="宋体" w:hAnsi="宋体" w:eastAsia="宋体" w:cs="宋体"/>
          <w:b w:val="0"/>
          <w:bCs/>
          <w:color w:val="0000FF"/>
          <w:sz w:val="24"/>
          <w:u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3A72720">
      <w:pPr>
        <w:spacing w:line="360" w:lineRule="auto"/>
        <w:ind w:firstLine="480" w:firstLineChars="200"/>
        <w:rPr>
          <w:rFonts w:hint="eastAsia" w:ascii="宋体" w:hAnsi="宋体" w:eastAsia="宋体" w:cs="宋体"/>
          <w:b w:val="0"/>
          <w:bCs/>
          <w:color w:val="0000FF"/>
          <w:sz w:val="24"/>
          <w:u w:val="none"/>
          <w:lang w:val="en-US" w:eastAsia="zh-CN"/>
        </w:rPr>
      </w:pPr>
      <w:r>
        <w:rPr>
          <w:rFonts w:hint="eastAsia" w:ascii="宋体" w:hAnsi="宋体" w:eastAsia="宋体" w:cs="宋体"/>
          <w:b w:val="0"/>
          <w:bCs/>
          <w:color w:val="0000FF"/>
          <w:sz w:val="24"/>
          <w:u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14:paraId="39056D2B">
      <w:pPr>
        <w:spacing w:line="360" w:lineRule="auto"/>
        <w:ind w:firstLine="480" w:firstLineChars="200"/>
        <w:rPr>
          <w:rFonts w:hint="eastAsia" w:eastAsiaTheme="minorEastAsia"/>
          <w:lang w:eastAsia="zh-CN"/>
        </w:rPr>
      </w:pPr>
      <w:r>
        <w:rPr>
          <w:rFonts w:hint="eastAsia" w:ascii="宋体" w:hAnsi="宋体" w:eastAsia="宋体" w:cs="宋体"/>
          <w:b w:val="0"/>
          <w:bCs/>
          <w:color w:val="0000FF"/>
          <w:sz w:val="24"/>
          <w:u w:val="none"/>
          <w:lang w:val="en-US" w:eastAsia="zh-CN"/>
        </w:rPr>
        <w:t>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530588A0">
      <w:pPr>
        <w:pStyle w:val="5"/>
        <w:spacing w:line="360" w:lineRule="auto"/>
        <w:rPr>
          <w:rFonts w:ascii="宋体" w:hAnsi="宋体" w:eastAsia="宋体" w:cs="宋体"/>
          <w:sz w:val="24"/>
        </w:rPr>
      </w:pPr>
      <w:bookmarkStart w:id="48" w:name="_Toc16063"/>
      <w:r>
        <w:rPr>
          <w:rFonts w:hint="eastAsia" w:ascii="宋体" w:hAnsi="宋体" w:eastAsia="宋体" w:cs="宋体"/>
          <w:sz w:val="24"/>
        </w:rPr>
        <w:t>21.串通磋商的情形</w:t>
      </w:r>
      <w:bookmarkEnd w:id="48"/>
    </w:p>
    <w:p w14:paraId="2C8FF9CD">
      <w:pPr>
        <w:spacing w:line="360" w:lineRule="auto"/>
        <w:ind w:firstLine="480" w:firstLineChars="200"/>
        <w:jc w:val="left"/>
        <w:rPr>
          <w:rFonts w:ascii="宋体" w:hAnsi="宋体" w:eastAsia="宋体" w:cs="宋体"/>
          <w:sz w:val="24"/>
        </w:rPr>
      </w:pPr>
      <w:r>
        <w:rPr>
          <w:rFonts w:hint="eastAsia" w:ascii="宋体" w:hAnsi="宋体" w:eastAsia="宋体" w:cs="宋体"/>
          <w:sz w:val="24"/>
        </w:rPr>
        <w:t>有下列情形之一的，视为供应商串通磋商，磋商无效：</w:t>
      </w:r>
    </w:p>
    <w:p w14:paraId="2A6EE7D8">
      <w:pPr>
        <w:spacing w:line="360" w:lineRule="auto"/>
        <w:ind w:firstLine="480" w:firstLineChars="200"/>
        <w:jc w:val="left"/>
        <w:rPr>
          <w:rFonts w:ascii="宋体" w:hAnsi="宋体" w:eastAsia="宋体" w:cs="宋体"/>
          <w:sz w:val="24"/>
        </w:rPr>
      </w:pPr>
      <w:r>
        <w:rPr>
          <w:rFonts w:hint="eastAsia" w:ascii="宋体" w:hAnsi="宋体" w:eastAsia="宋体" w:cs="宋体"/>
          <w:sz w:val="24"/>
        </w:rPr>
        <w:t>(1)不同供应商的响应文件由同一单位或者个人编制；</w:t>
      </w:r>
    </w:p>
    <w:p w14:paraId="7BC1100C">
      <w:pPr>
        <w:spacing w:line="360" w:lineRule="auto"/>
        <w:ind w:firstLine="480" w:firstLineChars="200"/>
        <w:jc w:val="left"/>
        <w:rPr>
          <w:rFonts w:ascii="宋体" w:hAnsi="宋体" w:eastAsia="宋体" w:cs="宋体"/>
          <w:sz w:val="24"/>
        </w:rPr>
      </w:pPr>
      <w:r>
        <w:rPr>
          <w:rFonts w:hint="eastAsia" w:ascii="宋体" w:hAnsi="宋体" w:eastAsia="宋体" w:cs="宋体"/>
          <w:sz w:val="24"/>
        </w:rPr>
        <w:t>(2)不同供应商委托同一单位或者个人办理磋商事宜；</w:t>
      </w:r>
    </w:p>
    <w:p w14:paraId="3891A09C">
      <w:pPr>
        <w:spacing w:line="360" w:lineRule="auto"/>
        <w:ind w:firstLine="480" w:firstLineChars="200"/>
        <w:jc w:val="left"/>
        <w:rPr>
          <w:rFonts w:ascii="宋体" w:hAnsi="宋体" w:eastAsia="宋体" w:cs="宋体"/>
          <w:sz w:val="24"/>
        </w:rPr>
      </w:pPr>
      <w:r>
        <w:rPr>
          <w:rFonts w:hint="eastAsia" w:ascii="宋体" w:hAnsi="宋体" w:eastAsia="宋体" w:cs="宋体"/>
          <w:sz w:val="24"/>
        </w:rPr>
        <w:t>(3)不同供应商的响应文件载明的项目管理成员或者联系人员为同一人；</w:t>
      </w:r>
    </w:p>
    <w:p w14:paraId="45CB4B13">
      <w:pPr>
        <w:spacing w:line="360" w:lineRule="auto"/>
        <w:ind w:firstLine="480" w:firstLineChars="200"/>
        <w:jc w:val="left"/>
        <w:rPr>
          <w:rFonts w:ascii="宋体" w:hAnsi="宋体" w:eastAsia="宋体" w:cs="宋体"/>
          <w:sz w:val="24"/>
        </w:rPr>
      </w:pPr>
      <w:r>
        <w:rPr>
          <w:rFonts w:hint="eastAsia" w:ascii="宋体" w:hAnsi="宋体" w:eastAsia="宋体" w:cs="宋体"/>
          <w:sz w:val="24"/>
        </w:rPr>
        <w:t>(4)不同供应商的响应文件异常一致或者磋商报价呈规律性差异；</w:t>
      </w:r>
    </w:p>
    <w:p w14:paraId="1E651F41">
      <w:pPr>
        <w:spacing w:line="360" w:lineRule="auto"/>
        <w:ind w:firstLine="480" w:firstLineChars="200"/>
        <w:jc w:val="left"/>
        <w:rPr>
          <w:rFonts w:ascii="宋体" w:hAnsi="宋体" w:eastAsia="宋体" w:cs="宋体"/>
          <w:sz w:val="24"/>
        </w:rPr>
      </w:pPr>
      <w:r>
        <w:rPr>
          <w:rFonts w:hint="eastAsia" w:ascii="宋体" w:hAnsi="宋体" w:eastAsia="宋体" w:cs="宋体"/>
          <w:sz w:val="24"/>
        </w:rPr>
        <w:t>(5)不同供应商的响应文件相互混装。</w:t>
      </w:r>
    </w:p>
    <w:p w14:paraId="286CCE64">
      <w:pPr>
        <w:pStyle w:val="5"/>
        <w:spacing w:line="360" w:lineRule="auto"/>
        <w:rPr>
          <w:rFonts w:ascii="宋体" w:hAnsi="宋体" w:eastAsia="宋体" w:cs="宋体"/>
          <w:sz w:val="24"/>
        </w:rPr>
      </w:pPr>
      <w:bookmarkStart w:id="49" w:name="_Toc16755"/>
      <w:r>
        <w:rPr>
          <w:rFonts w:hint="eastAsia" w:ascii="宋体" w:hAnsi="宋体" w:eastAsia="宋体" w:cs="宋体"/>
          <w:sz w:val="24"/>
        </w:rPr>
        <w:t>22.响应文件的澄清</w:t>
      </w:r>
      <w:bookmarkEnd w:id="49"/>
    </w:p>
    <w:p w14:paraId="56D71D8E">
      <w:pPr>
        <w:spacing w:line="360" w:lineRule="auto"/>
        <w:ind w:firstLine="480" w:firstLineChars="200"/>
        <w:jc w:val="left"/>
        <w:rPr>
          <w:rFonts w:ascii="宋体" w:hAnsi="宋体" w:eastAsia="宋体" w:cs="宋体"/>
          <w:sz w:val="24"/>
        </w:rPr>
      </w:pPr>
      <w:r>
        <w:rPr>
          <w:rFonts w:hint="eastAsia" w:ascii="宋体" w:hAnsi="宋体" w:eastAsia="宋体" w:cs="宋体"/>
          <w:sz w:val="24"/>
        </w:rPr>
        <w:t>22.1供应商应根据磋商小组要求对相关问题进行澄清、说明或者补正，并加盖公章。供应商的澄清、说明或者补正不得超出响应文件的范围或者改变响应文件的实质性内容。</w:t>
      </w:r>
    </w:p>
    <w:p w14:paraId="2A6FE0FF">
      <w:bookmarkStart w:id="50" w:name="EBc9267927ab09462cb2a1dad891272a2f"/>
      <w:r>
        <w:rPr>
          <w:rFonts w:ascii="Segoe UI Symbol" w:hAnsi="Segoe UI Symbol" w:cs="Segoe UI Symbol"/>
          <w:sz w:val="24"/>
        </w:rPr>
        <w:t>☑</w:t>
      </w:r>
      <w:bookmarkEnd w:id="50"/>
      <w:bookmarkStart w:id="51" w:name="EB840788620d844f9da51ffe49f1f6c40e"/>
      <w:r>
        <w:rPr>
          <w:rFonts w:hint="eastAsia" w:ascii="宋体" w:hAnsi="宋体" w:eastAsia="宋体" w:cs="宋体"/>
          <w:sz w:val="24"/>
        </w:rPr>
        <w:t>投标人可登录电子交易平台进入“</w:t>
      </w:r>
      <w:r>
        <w:rPr>
          <w:rFonts w:hint="eastAsia" w:ascii="宋体" w:hAnsi="宋体"/>
          <w:sz w:val="24"/>
        </w:rPr>
        <w:t>答疑澄清-点击反馈”进行在线澄清，操作指南详见http://ggzy.zhenjiang.gov.cn/zjzc/cgzn/013003/（“苏采云”系统供应商操作手册）。</w:t>
      </w:r>
      <w:bookmarkEnd w:id="51"/>
    </w:p>
    <w:p w14:paraId="21174E76">
      <w:pPr>
        <w:pStyle w:val="5"/>
        <w:spacing w:line="360" w:lineRule="auto"/>
        <w:rPr>
          <w:rFonts w:ascii="宋体" w:hAnsi="宋体" w:eastAsia="宋体" w:cs="宋体"/>
          <w:sz w:val="24"/>
        </w:rPr>
      </w:pPr>
      <w:bookmarkStart w:id="52" w:name="_Toc21913"/>
      <w:r>
        <w:rPr>
          <w:rFonts w:hint="eastAsia" w:ascii="宋体" w:hAnsi="宋体" w:eastAsia="宋体" w:cs="宋体"/>
          <w:sz w:val="24"/>
        </w:rPr>
        <w:t>23.磋商内容</w:t>
      </w:r>
      <w:bookmarkEnd w:id="52"/>
    </w:p>
    <w:p w14:paraId="5B6C244D">
      <w:pPr>
        <w:spacing w:line="360" w:lineRule="auto"/>
        <w:ind w:firstLine="480" w:firstLineChars="200"/>
        <w:jc w:val="left"/>
        <w:rPr>
          <w:rFonts w:ascii="宋体" w:hAnsi="宋体" w:eastAsia="宋体" w:cs="宋体"/>
          <w:sz w:val="24"/>
        </w:rPr>
      </w:pPr>
      <w:r>
        <w:rPr>
          <w:rFonts w:hint="eastAsia" w:ascii="宋体" w:hAnsi="宋体" w:eastAsia="宋体" w:cs="宋体"/>
          <w:sz w:val="24"/>
        </w:rPr>
        <w:t>23.1磋商小组与符合条件的供应商就磋商文件中的技术、服务要求及合同草案条款等进行磋商。</w:t>
      </w:r>
    </w:p>
    <w:p w14:paraId="5EB981ED">
      <w:pPr>
        <w:spacing w:line="360" w:lineRule="auto"/>
        <w:ind w:firstLine="480" w:firstLineChars="200"/>
        <w:jc w:val="left"/>
        <w:rPr>
          <w:rFonts w:ascii="宋体" w:hAnsi="宋体" w:eastAsia="宋体" w:cs="宋体"/>
          <w:sz w:val="24"/>
        </w:rPr>
      </w:pPr>
      <w:r>
        <w:rPr>
          <w:rFonts w:hint="eastAsia" w:ascii="宋体" w:hAnsi="宋体" w:eastAsia="宋体" w:cs="宋体"/>
          <w:sz w:val="24"/>
        </w:rPr>
        <w:t>23.2在磋商过程中，磋商小组可以根据磋商文件和磋商情况实质性变动采购需求中的技术、服务要求以及合同草案条款，但不得变动磋商文件中的其他内容。实质性变动的内容，须经采购人代表书面确认后进行。</w:t>
      </w:r>
    </w:p>
    <w:p w14:paraId="0DBA46C7">
      <w:pPr>
        <w:spacing w:line="360" w:lineRule="auto"/>
        <w:ind w:firstLine="480" w:firstLineChars="200"/>
        <w:jc w:val="left"/>
        <w:rPr>
          <w:rFonts w:ascii="宋体" w:hAnsi="宋体" w:eastAsia="宋体" w:cs="宋体"/>
          <w:sz w:val="24"/>
        </w:rPr>
      </w:pPr>
      <w:r>
        <w:rPr>
          <w:rFonts w:hint="eastAsia" w:ascii="宋体" w:hAnsi="宋体" w:eastAsia="宋体" w:cs="宋体"/>
          <w:sz w:val="24"/>
        </w:rPr>
        <w:t>根据磋商文件和磋商情况作出的实质性变动是磋商文件的有效组成部分，磋商小组将及时以书面形式同时通知所有参加磋商的供应商。</w:t>
      </w:r>
    </w:p>
    <w:p w14:paraId="3E3A066D">
      <w:pPr>
        <w:spacing w:line="360" w:lineRule="auto"/>
        <w:ind w:firstLine="480" w:firstLineChars="200"/>
        <w:jc w:val="left"/>
        <w:rPr>
          <w:rFonts w:ascii="宋体" w:hAnsi="宋体" w:eastAsia="宋体" w:cs="宋体"/>
          <w:sz w:val="24"/>
          <w:u w:val="single"/>
        </w:rPr>
      </w:pPr>
      <w:r>
        <w:rPr>
          <w:rFonts w:hint="eastAsia" w:ascii="宋体" w:hAnsi="宋体" w:eastAsia="宋体" w:cs="宋体"/>
          <w:sz w:val="24"/>
          <w:u w:val="single"/>
        </w:rPr>
        <w:t>供应商应当按照磋商文件的变动情况和磋商小组的要求重新提交响应文件，并由其法定代表人或授权委托代理人签字或者加盖公章。由授权委托代理人签字的，应当附法定代表人授权书。</w:t>
      </w:r>
    </w:p>
    <w:p w14:paraId="75C56252">
      <w:pPr>
        <w:spacing w:line="360" w:lineRule="auto"/>
        <w:ind w:firstLine="480" w:firstLineChars="200"/>
        <w:jc w:val="left"/>
        <w:rPr>
          <w:rFonts w:ascii="宋体" w:hAnsi="宋体" w:eastAsia="宋体" w:cs="宋体"/>
          <w:sz w:val="24"/>
        </w:rPr>
      </w:pPr>
      <w:r>
        <w:rPr>
          <w:rFonts w:hint="eastAsia" w:ascii="宋体" w:hAnsi="宋体" w:eastAsia="宋体" w:cs="宋体"/>
          <w:sz w:val="24"/>
        </w:rPr>
        <w:t>23.3已提交响应文件的供应商，由于磋商小组实质性变动采购需求中的技术、服务要求以及合同草案条款，在提交最后报价之前，可以根据磋商情况退出磋商。若采购需求未发生实质性变动，供应商不得退出磋商。</w:t>
      </w:r>
    </w:p>
    <w:p w14:paraId="3059E8F0">
      <w:pPr>
        <w:pStyle w:val="5"/>
        <w:spacing w:line="360" w:lineRule="auto"/>
        <w:rPr>
          <w:rFonts w:ascii="宋体" w:hAnsi="宋体" w:eastAsia="宋体" w:cs="宋体"/>
          <w:sz w:val="24"/>
        </w:rPr>
      </w:pPr>
      <w:bookmarkStart w:id="53" w:name="_Toc24213"/>
      <w:r>
        <w:rPr>
          <w:rFonts w:hint="eastAsia" w:ascii="宋体" w:hAnsi="宋体" w:eastAsia="宋体" w:cs="宋体"/>
          <w:sz w:val="24"/>
        </w:rPr>
        <w:t>24.最后报价的提交</w:t>
      </w:r>
      <w:bookmarkEnd w:id="53"/>
    </w:p>
    <w:p w14:paraId="286741F6">
      <w:pPr>
        <w:spacing w:line="360" w:lineRule="auto"/>
        <w:ind w:firstLine="480" w:firstLineChars="200"/>
        <w:jc w:val="left"/>
        <w:rPr>
          <w:rFonts w:ascii="宋体" w:hAnsi="宋体" w:eastAsia="宋体" w:cs="宋体"/>
          <w:sz w:val="24"/>
        </w:rPr>
      </w:pPr>
      <w:r>
        <w:rPr>
          <w:rFonts w:hint="eastAsia" w:ascii="宋体" w:hAnsi="宋体" w:eastAsia="宋体" w:cs="宋体"/>
          <w:sz w:val="24"/>
        </w:rPr>
        <w:t>24.1磋商文件能够详细列明采购标的的技术、服务要求的，磋商结束后，磋商小组应当要求所有实质性响应的供应商在规定时间内提交最后总报价和最后明细报价，提交最后报价的供应商不得少于3家。</w:t>
      </w:r>
    </w:p>
    <w:p w14:paraId="1C5A36D6">
      <w:pPr>
        <w:spacing w:line="360" w:lineRule="auto"/>
        <w:ind w:firstLine="480" w:firstLineChars="200"/>
        <w:jc w:val="left"/>
        <w:rPr>
          <w:rFonts w:ascii="宋体" w:hAnsi="宋体" w:eastAsia="宋体" w:cs="宋体"/>
          <w:sz w:val="24"/>
        </w:rPr>
      </w:pPr>
      <w:r>
        <w:rPr>
          <w:rFonts w:hint="eastAsia" w:ascii="宋体" w:hAnsi="宋体" w:eastAsia="宋体" w:cs="宋体"/>
          <w:sz w:val="24"/>
        </w:rPr>
        <w:t>磋商文件不能详细列明采购标的的技术、服务要求，需经磋商由供应商提供最终</w:t>
      </w:r>
      <w:r>
        <w:rPr>
          <w:rFonts w:hint="eastAsia" w:ascii="宋体" w:hAnsi="宋体" w:eastAsia="宋体" w:cs="宋体"/>
          <w:sz w:val="24"/>
          <w:lang w:val="en-US" w:eastAsia="zh-CN"/>
        </w:rPr>
        <w:t>服务</w:t>
      </w:r>
      <w:r>
        <w:rPr>
          <w:rFonts w:hint="eastAsia" w:ascii="宋体" w:hAnsi="宋体" w:eastAsia="宋体" w:cs="宋体"/>
          <w:sz w:val="24"/>
        </w:rPr>
        <w:t>方案或解决方案的，磋商结束后，磋商小组应当按照少数服从多数的原则投票推荐3家以上供应商的</w:t>
      </w:r>
      <w:r>
        <w:rPr>
          <w:rFonts w:hint="eastAsia" w:ascii="宋体" w:hAnsi="宋体" w:eastAsia="宋体" w:cs="宋体"/>
          <w:sz w:val="24"/>
          <w:lang w:val="en-US" w:eastAsia="zh-CN"/>
        </w:rPr>
        <w:t>服务</w:t>
      </w:r>
      <w:r>
        <w:rPr>
          <w:rFonts w:hint="eastAsia" w:ascii="宋体" w:hAnsi="宋体" w:eastAsia="宋体" w:cs="宋体"/>
          <w:sz w:val="24"/>
        </w:rPr>
        <w:t>方案或者解决方案，并要求其在规定时间内提交最后总报价和最后明细报价。</w:t>
      </w:r>
    </w:p>
    <w:p w14:paraId="49A4A659">
      <w:pPr>
        <w:spacing w:line="360" w:lineRule="auto"/>
        <w:ind w:firstLine="480" w:firstLineChars="200"/>
        <w:jc w:val="left"/>
        <w:rPr>
          <w:rFonts w:ascii="宋体" w:hAnsi="宋体" w:eastAsia="宋体" w:cs="宋体"/>
          <w:sz w:val="24"/>
        </w:rPr>
      </w:pPr>
      <w:r>
        <w:rPr>
          <w:rFonts w:hint="eastAsia" w:ascii="宋体" w:hAnsi="宋体" w:eastAsia="宋体" w:cs="宋体"/>
          <w:sz w:val="24"/>
        </w:rPr>
        <w:t>最后报价是供应商响应文件的有效组成部分。符合《政府采购竞争性磋商采购方式管理暂行办法》第三条第四项及本须知第25.2项情形的，提交最后报价的供应商可以为2家。</w:t>
      </w:r>
    </w:p>
    <w:p w14:paraId="4C8E7927">
      <w:pPr>
        <w:pStyle w:val="5"/>
        <w:spacing w:line="360" w:lineRule="auto"/>
        <w:rPr>
          <w:rFonts w:ascii="宋体" w:hAnsi="宋体" w:eastAsia="宋体" w:cs="宋体"/>
          <w:sz w:val="24"/>
        </w:rPr>
      </w:pPr>
      <w:bookmarkStart w:id="54" w:name="_Toc25800"/>
      <w:r>
        <w:rPr>
          <w:rFonts w:hint="eastAsia" w:ascii="宋体" w:hAnsi="宋体" w:eastAsia="宋体" w:cs="宋体"/>
          <w:sz w:val="24"/>
        </w:rPr>
        <w:t>25.竞争性磋商特殊情况处理</w:t>
      </w:r>
      <w:bookmarkEnd w:id="54"/>
    </w:p>
    <w:p w14:paraId="474262BF">
      <w:pPr>
        <w:spacing w:line="360" w:lineRule="auto"/>
        <w:ind w:firstLine="480" w:firstLineChars="200"/>
        <w:jc w:val="left"/>
        <w:rPr>
          <w:rFonts w:ascii="宋体" w:hAnsi="宋体" w:eastAsia="宋体" w:cs="宋体"/>
          <w:sz w:val="24"/>
        </w:rPr>
      </w:pPr>
      <w:r>
        <w:rPr>
          <w:rFonts w:hint="eastAsia" w:ascii="宋体" w:hAnsi="宋体" w:eastAsia="宋体" w:cs="宋体"/>
          <w:sz w:val="24"/>
        </w:rPr>
        <w:t>25.1出现下列情形之一的，应当终止竞争性磋商采购活动，发布项目终止公告并说明原因，重新开展采购活动：</w:t>
      </w:r>
    </w:p>
    <w:p w14:paraId="58D314DF">
      <w:pPr>
        <w:spacing w:line="360" w:lineRule="auto"/>
        <w:ind w:firstLine="480" w:firstLineChars="200"/>
        <w:jc w:val="left"/>
        <w:rPr>
          <w:rFonts w:ascii="宋体" w:hAnsi="宋体" w:eastAsia="宋体" w:cs="宋体"/>
          <w:sz w:val="24"/>
        </w:rPr>
      </w:pPr>
      <w:r>
        <w:rPr>
          <w:rFonts w:hint="eastAsia" w:ascii="宋体" w:hAnsi="宋体" w:eastAsia="宋体" w:cs="宋体"/>
          <w:sz w:val="24"/>
        </w:rPr>
        <w:t>(1)因情况变化，不再符合规定的竞争性磋商采购方式适用情形的；</w:t>
      </w:r>
    </w:p>
    <w:p w14:paraId="34D4A6E6">
      <w:pPr>
        <w:spacing w:line="360" w:lineRule="auto"/>
        <w:ind w:firstLine="480" w:firstLineChars="200"/>
        <w:jc w:val="left"/>
        <w:rPr>
          <w:rFonts w:ascii="宋体" w:hAnsi="宋体" w:eastAsia="宋体" w:cs="宋体"/>
          <w:sz w:val="24"/>
        </w:rPr>
      </w:pPr>
      <w:r>
        <w:rPr>
          <w:rFonts w:hint="eastAsia" w:ascii="宋体" w:hAnsi="宋体" w:eastAsia="宋体" w:cs="宋体"/>
          <w:sz w:val="24"/>
        </w:rPr>
        <w:t>(2)出现影响采购公正的违法、违规行为的；</w:t>
      </w:r>
    </w:p>
    <w:p w14:paraId="5D139102">
      <w:pPr>
        <w:spacing w:line="360" w:lineRule="auto"/>
        <w:ind w:firstLine="480" w:firstLineChars="200"/>
        <w:jc w:val="left"/>
        <w:rPr>
          <w:rFonts w:ascii="宋体" w:hAnsi="宋体" w:eastAsia="宋体" w:cs="宋体"/>
          <w:sz w:val="24"/>
        </w:rPr>
      </w:pPr>
      <w:r>
        <w:rPr>
          <w:rFonts w:hint="eastAsia" w:ascii="宋体" w:hAnsi="宋体" w:eastAsia="宋体" w:cs="宋体"/>
          <w:sz w:val="24"/>
        </w:rPr>
        <w:t>(3)除《政府采购竞争性磋商采购方式管理暂行办法》第三条第四项规定的情形外，在采购过程中符合要求的供应商或者报价未超过采购预算的供应商不足3家的。</w:t>
      </w:r>
    </w:p>
    <w:p w14:paraId="52AED031">
      <w:pPr>
        <w:spacing w:line="360" w:lineRule="auto"/>
        <w:ind w:firstLine="482" w:firstLineChars="200"/>
        <w:jc w:val="left"/>
        <w:rPr>
          <w:rFonts w:ascii="宋体" w:hAnsi="宋体" w:eastAsia="宋体" w:cs="宋体"/>
          <w:sz w:val="24"/>
        </w:rPr>
      </w:pPr>
      <w:r>
        <w:rPr>
          <w:rFonts w:hint="eastAsia" w:ascii="宋体" w:hAnsi="宋体" w:eastAsia="宋体" w:cs="宋体"/>
          <w:b/>
          <w:bCs/>
          <w:sz w:val="24"/>
        </w:rPr>
        <w:t>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1775D92C">
      <w:pPr>
        <w:spacing w:line="360" w:lineRule="auto"/>
        <w:ind w:firstLine="480" w:firstLineChars="200"/>
        <w:jc w:val="left"/>
        <w:rPr>
          <w:rFonts w:ascii="宋体" w:hAnsi="宋体" w:eastAsia="宋体" w:cs="宋体"/>
          <w:sz w:val="24"/>
        </w:rPr>
      </w:pPr>
      <w:r>
        <w:rPr>
          <w:rFonts w:hint="eastAsia" w:ascii="宋体" w:hAnsi="宋体" w:eastAsia="宋体" w:cs="宋体"/>
          <w:sz w:val="24"/>
        </w:rPr>
        <w:t>25.3因重大变故，采购任务取消的则该磋商活动取消，采购人应当将取消理由通知所有供应商。</w:t>
      </w:r>
    </w:p>
    <w:p w14:paraId="1F1919A5">
      <w:pPr>
        <w:pStyle w:val="4"/>
        <w:spacing w:before="405" w:beforeLines="130" w:after="405" w:afterLines="130" w:line="360" w:lineRule="auto"/>
        <w:jc w:val="center"/>
      </w:pPr>
      <w:bookmarkStart w:id="55" w:name="_Toc23145"/>
      <w:r>
        <w:rPr>
          <w:rFonts w:hint="eastAsia"/>
        </w:rPr>
        <w:t>五、确定成交结果</w:t>
      </w:r>
      <w:bookmarkEnd w:id="55"/>
    </w:p>
    <w:p w14:paraId="20F98C4F">
      <w:pPr>
        <w:pStyle w:val="5"/>
        <w:spacing w:line="360" w:lineRule="auto"/>
        <w:rPr>
          <w:rFonts w:ascii="宋体" w:hAnsi="宋体" w:eastAsia="宋体" w:cs="宋体"/>
          <w:sz w:val="24"/>
        </w:rPr>
      </w:pPr>
      <w:bookmarkStart w:id="56" w:name="_Toc24009"/>
      <w:r>
        <w:rPr>
          <w:rFonts w:hint="eastAsia" w:ascii="宋体" w:hAnsi="宋体" w:eastAsia="宋体" w:cs="宋体"/>
          <w:sz w:val="24"/>
        </w:rPr>
        <w:t>26.确定成交供应商</w:t>
      </w:r>
      <w:bookmarkEnd w:id="56"/>
    </w:p>
    <w:p w14:paraId="30288B74">
      <w:pPr>
        <w:spacing w:line="360" w:lineRule="auto"/>
        <w:ind w:firstLine="480" w:firstLineChars="200"/>
        <w:jc w:val="left"/>
        <w:rPr>
          <w:rFonts w:ascii="宋体" w:hAnsi="宋体" w:eastAsia="宋体" w:cs="宋体"/>
          <w:sz w:val="24"/>
        </w:rPr>
      </w:pPr>
      <w:r>
        <w:rPr>
          <w:rFonts w:hint="eastAsia" w:ascii="宋体" w:hAnsi="宋体" w:eastAsia="宋体" w:cs="宋体"/>
          <w:sz w:val="24"/>
        </w:rPr>
        <w:t>26.1采购人从评审报告提出的成交候选供应商中，按照排序由高到低的原则确定成交供应商。</w:t>
      </w:r>
    </w:p>
    <w:p w14:paraId="1E7ABA75">
      <w:pPr>
        <w:pStyle w:val="4"/>
        <w:spacing w:before="405" w:beforeLines="130" w:after="405" w:afterLines="130" w:line="360" w:lineRule="auto"/>
        <w:jc w:val="center"/>
      </w:pPr>
      <w:bookmarkStart w:id="57" w:name="_Toc28694"/>
      <w:r>
        <w:rPr>
          <w:rFonts w:hint="eastAsia"/>
        </w:rPr>
        <w:t>六、授予合同</w:t>
      </w:r>
      <w:bookmarkEnd w:id="57"/>
    </w:p>
    <w:p w14:paraId="654FE1C2">
      <w:pPr>
        <w:pStyle w:val="5"/>
        <w:spacing w:line="360" w:lineRule="auto"/>
        <w:rPr>
          <w:rFonts w:ascii="宋体" w:hAnsi="宋体" w:eastAsia="宋体" w:cs="宋体"/>
          <w:sz w:val="24"/>
        </w:rPr>
      </w:pPr>
      <w:bookmarkStart w:id="58" w:name="_Toc18514"/>
      <w:r>
        <w:rPr>
          <w:rFonts w:hint="eastAsia" w:ascii="宋体" w:hAnsi="宋体" w:eastAsia="宋体" w:cs="宋体"/>
          <w:sz w:val="24"/>
        </w:rPr>
        <w:t>27.磋商组织方接受和拒绝任何或所有响应的权利</w:t>
      </w:r>
      <w:bookmarkEnd w:id="58"/>
    </w:p>
    <w:p w14:paraId="1A71C916">
      <w:pPr>
        <w:spacing w:line="360" w:lineRule="auto"/>
        <w:ind w:firstLine="480" w:firstLineChars="200"/>
        <w:jc w:val="left"/>
        <w:rPr>
          <w:rFonts w:ascii="宋体" w:hAnsi="宋体" w:eastAsia="宋体" w:cs="宋体"/>
          <w:sz w:val="24"/>
        </w:rPr>
      </w:pPr>
      <w:r>
        <w:rPr>
          <w:rFonts w:hint="eastAsia" w:ascii="宋体" w:hAnsi="宋体" w:eastAsia="宋体" w:cs="宋体"/>
          <w:sz w:val="24"/>
        </w:rPr>
        <w:t>27.1为维护国家和社会公共利益，磋商组织方保留在授标之前任何时候接受或拒绝任何供应商成交的权利，且对受影响的供应商不承担任何责任。</w:t>
      </w:r>
    </w:p>
    <w:p w14:paraId="0D198F09">
      <w:pPr>
        <w:spacing w:line="360" w:lineRule="auto"/>
        <w:ind w:firstLine="480" w:firstLineChars="200"/>
        <w:jc w:val="left"/>
        <w:rPr>
          <w:rFonts w:ascii="宋体" w:hAnsi="宋体" w:eastAsia="宋体" w:cs="宋体"/>
          <w:sz w:val="24"/>
        </w:rPr>
      </w:pPr>
      <w:r>
        <w:rPr>
          <w:rFonts w:hint="eastAsia" w:ascii="宋体" w:hAnsi="宋体" w:eastAsia="宋体" w:cs="宋体"/>
          <w:sz w:val="24"/>
        </w:rPr>
        <w:t>27.2因不可抗力或成交供应商不能履约等情形，磋商组织方保留与其他候选供应商签订合同的权利。</w:t>
      </w:r>
    </w:p>
    <w:p w14:paraId="2890F9AE">
      <w:pPr>
        <w:pStyle w:val="5"/>
        <w:spacing w:line="360" w:lineRule="auto"/>
        <w:rPr>
          <w:rFonts w:ascii="宋体" w:hAnsi="宋体" w:eastAsia="宋体" w:cs="宋体"/>
          <w:sz w:val="24"/>
        </w:rPr>
      </w:pPr>
      <w:bookmarkStart w:id="59" w:name="_Toc9441"/>
      <w:r>
        <w:rPr>
          <w:rFonts w:hint="eastAsia" w:ascii="宋体" w:hAnsi="宋体" w:eastAsia="宋体" w:cs="宋体"/>
          <w:sz w:val="24"/>
        </w:rPr>
        <w:t>28.成交通知书</w:t>
      </w:r>
      <w:bookmarkEnd w:id="59"/>
    </w:p>
    <w:p w14:paraId="62B6DBB1">
      <w:pPr>
        <w:spacing w:line="360" w:lineRule="auto"/>
        <w:ind w:firstLine="480" w:firstLineChars="200"/>
        <w:jc w:val="left"/>
        <w:rPr>
          <w:rFonts w:ascii="宋体" w:hAnsi="宋体" w:eastAsia="宋体" w:cs="宋体"/>
          <w:sz w:val="24"/>
        </w:rPr>
      </w:pPr>
      <w:r>
        <w:rPr>
          <w:rFonts w:hint="eastAsia" w:ascii="宋体" w:hAnsi="宋体" w:eastAsia="宋体" w:cs="宋体"/>
          <w:sz w:val="24"/>
        </w:rPr>
        <w:t>28.1在磋商响应有效期期满之前，磋商组织方将以书面形式通知成交供应商，成交供应商在收到成交通知书后，须立即以书面形式回复磋商组织方，确认成交通知书已收，并同意接受。</w:t>
      </w:r>
    </w:p>
    <w:p w14:paraId="3C16CDBE">
      <w:pPr>
        <w:spacing w:line="360" w:lineRule="auto"/>
        <w:ind w:firstLine="480" w:firstLineChars="200"/>
        <w:jc w:val="left"/>
        <w:rPr>
          <w:rFonts w:ascii="宋体" w:hAnsi="宋体" w:eastAsia="宋体" w:cs="宋体"/>
          <w:sz w:val="24"/>
        </w:rPr>
      </w:pPr>
      <w:r>
        <w:rPr>
          <w:rFonts w:hint="eastAsia" w:ascii="宋体" w:hAnsi="宋体" w:eastAsia="宋体" w:cs="宋体"/>
          <w:sz w:val="24"/>
        </w:rPr>
        <w:t>28.2成交通知书发出后，采购人不得违法改变成交结果，成交供应商无正当理由不得放弃成交。</w:t>
      </w:r>
    </w:p>
    <w:p w14:paraId="12716564">
      <w:pPr>
        <w:pStyle w:val="5"/>
        <w:spacing w:line="360" w:lineRule="auto"/>
        <w:rPr>
          <w:rFonts w:ascii="宋体" w:hAnsi="宋体" w:eastAsia="宋体" w:cs="宋体"/>
          <w:sz w:val="24"/>
        </w:rPr>
      </w:pPr>
      <w:bookmarkStart w:id="60" w:name="_Toc26465"/>
      <w:r>
        <w:rPr>
          <w:rFonts w:hint="eastAsia" w:ascii="宋体" w:hAnsi="宋体" w:eastAsia="宋体" w:cs="宋体"/>
          <w:sz w:val="24"/>
        </w:rPr>
        <w:t>29.签订合同</w:t>
      </w:r>
      <w:bookmarkEnd w:id="60"/>
    </w:p>
    <w:p w14:paraId="234B624E">
      <w:pPr>
        <w:spacing w:line="360" w:lineRule="auto"/>
        <w:ind w:firstLine="480" w:firstLineChars="200"/>
        <w:jc w:val="left"/>
        <w:rPr>
          <w:rFonts w:ascii="宋体" w:hAnsi="宋体" w:eastAsia="宋体" w:cs="宋体"/>
          <w:sz w:val="24"/>
        </w:rPr>
      </w:pPr>
      <w:r>
        <w:rPr>
          <w:rFonts w:hint="eastAsia" w:ascii="宋体" w:hAnsi="宋体" w:eastAsia="宋体" w:cs="宋体"/>
          <w:sz w:val="24"/>
        </w:rPr>
        <w:t>29.1采购人应当自成交通知书发出之日起15日内，按照磋商文件、成交供应商磋商响应文件以及磋商过程中确定的事项，与成交供应商签订政府采购合同。采购人不得向成交人提出任何不合理的要求作为签订合同的条件。</w:t>
      </w:r>
    </w:p>
    <w:p w14:paraId="1E070DEC">
      <w:pPr>
        <w:spacing w:line="360" w:lineRule="auto"/>
        <w:ind w:firstLine="480" w:firstLineChars="200"/>
        <w:jc w:val="left"/>
        <w:rPr>
          <w:rFonts w:ascii="宋体" w:hAnsi="宋体" w:eastAsia="宋体" w:cs="宋体"/>
          <w:sz w:val="24"/>
        </w:rPr>
      </w:pPr>
      <w:r>
        <w:rPr>
          <w:rFonts w:hint="eastAsia" w:ascii="宋体" w:hAnsi="宋体" w:eastAsia="宋体" w:cs="宋体"/>
          <w:sz w:val="24"/>
        </w:rPr>
        <w:t>29.2政府采购合同应当包括采购人与成交人的名称和住所、标的、数量、质量、价款或者报酬、履行期限及地点和方式、验收要求、违约责任、解决争议的方法等内容。</w:t>
      </w:r>
    </w:p>
    <w:p w14:paraId="0FADEA6F">
      <w:pPr>
        <w:spacing w:line="360" w:lineRule="auto"/>
        <w:ind w:firstLine="480" w:firstLineChars="200"/>
        <w:jc w:val="left"/>
        <w:rPr>
          <w:rFonts w:ascii="宋体" w:hAnsi="宋体" w:eastAsia="宋体" w:cs="宋体"/>
          <w:sz w:val="24"/>
        </w:rPr>
      </w:pPr>
      <w:r>
        <w:rPr>
          <w:rFonts w:hint="eastAsia" w:ascii="宋体" w:hAnsi="宋体" w:eastAsia="宋体" w:cs="宋体"/>
          <w:sz w:val="24"/>
        </w:rPr>
        <w:t>29.3合同履行中，采购人需追加与合同标的相同的服务时，在不改变合同其他条款的前提下，可以与成交人协商签订补充合同，但所有补充合同的采购金额不得超过原合同采购金额的百分之十。</w:t>
      </w:r>
    </w:p>
    <w:p w14:paraId="1E0753AE">
      <w:pPr>
        <w:spacing w:line="360" w:lineRule="auto"/>
        <w:ind w:firstLine="480" w:firstLineChars="200"/>
        <w:jc w:val="left"/>
        <w:rPr>
          <w:rFonts w:ascii="宋体" w:hAnsi="宋体" w:eastAsia="宋体" w:cs="宋体"/>
          <w:sz w:val="24"/>
        </w:rPr>
      </w:pPr>
      <w:r>
        <w:rPr>
          <w:rFonts w:hint="eastAsia" w:ascii="宋体" w:hAnsi="宋体" w:eastAsia="宋体" w:cs="宋体"/>
          <w:sz w:val="24"/>
        </w:rPr>
        <w:t>29.4采购结束后，采购人若由于各种客观原因，必须对采购项目所牵涉的货物和服务进行适当的减少时，在双方协商一致的前提下，可以按照磋商采购时的价格水平做相应的调减，并据此签订补充合同。</w:t>
      </w:r>
    </w:p>
    <w:p w14:paraId="273D15D9">
      <w:pPr>
        <w:spacing w:line="360" w:lineRule="auto"/>
        <w:ind w:firstLine="480" w:firstLineChars="200"/>
        <w:jc w:val="left"/>
        <w:rPr>
          <w:rFonts w:ascii="宋体" w:hAnsi="宋体" w:eastAsia="宋体" w:cs="宋体"/>
          <w:sz w:val="24"/>
        </w:rPr>
      </w:pPr>
      <w:r>
        <w:rPr>
          <w:rFonts w:hint="eastAsia" w:ascii="宋体" w:hAnsi="宋体" w:eastAsia="宋体" w:cs="宋体"/>
          <w:sz w:val="24"/>
        </w:rPr>
        <w:t>29.5采购人与成交人应当根据合同的约定依法履行合同义务。政府采购合同的履行、违约责任和解决争议的方法等适用《中华人民共和国民法典》。</w:t>
      </w:r>
    </w:p>
    <w:p w14:paraId="443832C4">
      <w:pPr>
        <w:pStyle w:val="5"/>
        <w:spacing w:line="360" w:lineRule="auto"/>
        <w:rPr>
          <w:rFonts w:ascii="宋体" w:hAnsi="宋体" w:eastAsia="宋体" w:cs="宋体"/>
          <w:sz w:val="24"/>
        </w:rPr>
      </w:pPr>
      <w:bookmarkStart w:id="61" w:name="_Toc16267"/>
      <w:r>
        <w:rPr>
          <w:rFonts w:hint="eastAsia" w:ascii="宋体" w:hAnsi="宋体" w:eastAsia="宋体" w:cs="宋体"/>
          <w:sz w:val="24"/>
        </w:rPr>
        <w:t>30.履约保证金</w:t>
      </w:r>
      <w:bookmarkEnd w:id="61"/>
    </w:p>
    <w:p w14:paraId="3B0069F0">
      <w:pPr>
        <w:spacing w:line="360" w:lineRule="auto"/>
        <w:ind w:firstLine="480" w:firstLineChars="200"/>
        <w:jc w:val="left"/>
        <w:rPr>
          <w:rFonts w:ascii="宋体" w:hAnsi="宋体" w:eastAsia="宋体" w:cs="宋体"/>
          <w:sz w:val="24"/>
        </w:rPr>
      </w:pPr>
      <w:r>
        <w:rPr>
          <w:rFonts w:ascii="宋体" w:hAnsi="宋体" w:eastAsia="宋体" w:cs="宋体"/>
          <w:sz w:val="24"/>
        </w:rPr>
        <w:t xml:space="preserve">30.1 </w:t>
      </w:r>
    </w:p>
    <w:p w14:paraId="19ECE2C6">
      <w:pPr>
        <w:spacing w:line="360" w:lineRule="auto"/>
        <w:ind w:firstLine="480" w:firstLineChars="200"/>
        <w:jc w:val="left"/>
        <w:rPr>
          <w:rFonts w:ascii="宋体" w:hAnsi="宋体" w:eastAsia="宋体" w:cs="宋体"/>
          <w:sz w:val="24"/>
        </w:rPr>
      </w:pPr>
      <w:r>
        <w:rPr>
          <w:rFonts w:hint="eastAsia" w:ascii="宋体" w:hAnsi="宋体" w:eastAsia="宋体" w:cs="宋体"/>
          <w:sz w:val="24"/>
        </w:rPr>
        <w:t>A ☑本项目不收取履约保证金。</w:t>
      </w:r>
    </w:p>
    <w:p w14:paraId="2FC47D74">
      <w:pPr>
        <w:spacing w:line="360" w:lineRule="auto"/>
        <w:ind w:firstLine="480" w:firstLineChars="200"/>
        <w:jc w:val="left"/>
        <w:rPr>
          <w:rFonts w:ascii="宋体" w:hAnsi="宋体" w:eastAsia="宋体" w:cs="宋体"/>
          <w:sz w:val="24"/>
        </w:rPr>
      </w:pPr>
      <w:r>
        <w:rPr>
          <w:rFonts w:hint="eastAsia" w:ascii="宋体" w:hAnsi="宋体" w:eastAsia="宋体" w:cs="宋体"/>
          <w:sz w:val="24"/>
        </w:rPr>
        <w:t>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p>
    <w:p w14:paraId="200D9579">
      <w:pPr>
        <w:pStyle w:val="4"/>
        <w:spacing w:before="405" w:beforeLines="130" w:after="405" w:afterLines="130" w:line="360" w:lineRule="auto"/>
        <w:jc w:val="center"/>
      </w:pPr>
      <w:bookmarkStart w:id="62" w:name="_Toc8060"/>
      <w:r>
        <w:rPr>
          <w:rFonts w:hint="eastAsia"/>
        </w:rPr>
        <w:t>七、询问、质疑、投诉</w:t>
      </w:r>
      <w:bookmarkEnd w:id="62"/>
    </w:p>
    <w:p w14:paraId="66ADC594">
      <w:pPr>
        <w:pStyle w:val="5"/>
        <w:spacing w:line="360" w:lineRule="auto"/>
        <w:rPr>
          <w:rFonts w:ascii="宋体" w:hAnsi="宋体" w:eastAsia="宋体" w:cs="宋体"/>
          <w:sz w:val="24"/>
        </w:rPr>
      </w:pPr>
      <w:bookmarkStart w:id="63" w:name="_Toc12302"/>
      <w:r>
        <w:rPr>
          <w:rFonts w:hint="eastAsia" w:ascii="宋体" w:hAnsi="宋体" w:eastAsia="宋体" w:cs="宋体"/>
          <w:sz w:val="24"/>
        </w:rPr>
        <w:t>31.询问</w:t>
      </w:r>
      <w:bookmarkEnd w:id="63"/>
    </w:p>
    <w:p w14:paraId="11AAD73D">
      <w:pPr>
        <w:spacing w:line="360" w:lineRule="auto"/>
        <w:ind w:firstLine="480" w:firstLineChars="200"/>
        <w:jc w:val="left"/>
        <w:rPr>
          <w:rFonts w:ascii="宋体" w:hAnsi="宋体" w:eastAsia="宋体" w:cs="宋体"/>
          <w:sz w:val="24"/>
        </w:rPr>
      </w:pPr>
      <w:r>
        <w:rPr>
          <w:rFonts w:hint="eastAsia" w:ascii="宋体" w:hAnsi="宋体" w:eastAsia="宋体" w:cs="宋体"/>
          <w:sz w:val="24"/>
        </w:rPr>
        <w:t>供应商对磋商活动事项有疑问的，可以向采购人或磋商组织方提出询问，采购人或磋商组织方将依法作出答复，但答复的内容不得涉及商业秘密。</w:t>
      </w:r>
    </w:p>
    <w:p w14:paraId="17D3B4CA">
      <w:pPr>
        <w:pStyle w:val="5"/>
        <w:spacing w:line="360" w:lineRule="auto"/>
        <w:rPr>
          <w:rFonts w:ascii="宋体" w:hAnsi="宋体" w:eastAsia="宋体" w:cs="宋体"/>
          <w:sz w:val="24"/>
        </w:rPr>
      </w:pPr>
      <w:bookmarkStart w:id="64" w:name="_Toc28698"/>
      <w:r>
        <w:rPr>
          <w:rFonts w:hint="eastAsia" w:ascii="宋体" w:hAnsi="宋体" w:eastAsia="宋体" w:cs="宋体"/>
          <w:sz w:val="24"/>
        </w:rPr>
        <w:t>32.质疑</w:t>
      </w:r>
      <w:bookmarkEnd w:id="64"/>
    </w:p>
    <w:p w14:paraId="2FCB57EA">
      <w:pPr>
        <w:spacing w:line="360" w:lineRule="auto"/>
        <w:ind w:firstLine="480" w:firstLineChars="200"/>
        <w:jc w:val="left"/>
        <w:rPr>
          <w:rFonts w:ascii="宋体" w:hAnsi="宋体" w:eastAsia="宋体" w:cs="宋体"/>
          <w:sz w:val="24"/>
        </w:rPr>
      </w:pPr>
      <w:r>
        <w:rPr>
          <w:rFonts w:hint="eastAsia" w:ascii="宋体" w:hAnsi="宋体" w:eastAsia="宋体" w:cs="宋体"/>
          <w:sz w:val="24"/>
        </w:rPr>
        <w:t>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p>
    <w:p w14:paraId="26F87E22">
      <w:pPr>
        <w:spacing w:line="360" w:lineRule="auto"/>
        <w:ind w:firstLine="480" w:firstLineChars="200"/>
        <w:jc w:val="left"/>
        <w:rPr>
          <w:rFonts w:ascii="宋体" w:hAnsi="宋体" w:eastAsia="宋体" w:cs="宋体"/>
          <w:sz w:val="24"/>
        </w:rPr>
      </w:pPr>
      <w:r>
        <w:rPr>
          <w:rFonts w:hint="eastAsia" w:ascii="宋体" w:hAnsi="宋体" w:eastAsia="宋体" w:cs="宋体"/>
          <w:sz w:val="24"/>
        </w:rPr>
        <w:t>以上规定的供应商应知其权益受到损害之日，是指：</w:t>
      </w:r>
    </w:p>
    <w:p w14:paraId="260B94D4">
      <w:pPr>
        <w:spacing w:line="360" w:lineRule="auto"/>
        <w:ind w:firstLine="480" w:firstLineChars="200"/>
        <w:jc w:val="left"/>
        <w:rPr>
          <w:rFonts w:ascii="宋体" w:hAnsi="宋体" w:eastAsia="宋体" w:cs="宋体"/>
          <w:sz w:val="24"/>
        </w:rPr>
      </w:pPr>
      <w:r>
        <w:rPr>
          <w:rFonts w:hint="eastAsia" w:ascii="宋体" w:hAnsi="宋体" w:eastAsia="宋体" w:cs="宋体"/>
          <w:sz w:val="24"/>
        </w:rPr>
        <w:t>(1)对可以质疑的磋商文件提出质疑的，为收到磋商文件之日或者磋商文件公告期限</w:t>
      </w:r>
    </w:p>
    <w:p w14:paraId="25593E84">
      <w:pPr>
        <w:spacing w:line="360" w:lineRule="auto"/>
        <w:jc w:val="left"/>
        <w:rPr>
          <w:rFonts w:ascii="宋体" w:hAnsi="宋体" w:eastAsia="宋体" w:cs="宋体"/>
          <w:sz w:val="24"/>
        </w:rPr>
      </w:pPr>
      <w:r>
        <w:rPr>
          <w:rFonts w:hint="eastAsia" w:ascii="宋体" w:hAnsi="宋体" w:eastAsia="宋体" w:cs="宋体"/>
          <w:sz w:val="24"/>
        </w:rPr>
        <w:t>届满之日；</w:t>
      </w:r>
    </w:p>
    <w:p w14:paraId="6BC01BF3">
      <w:pPr>
        <w:spacing w:line="360" w:lineRule="auto"/>
        <w:ind w:firstLine="480" w:firstLineChars="200"/>
        <w:jc w:val="left"/>
        <w:rPr>
          <w:rFonts w:ascii="宋体" w:hAnsi="宋体" w:eastAsia="宋体" w:cs="宋体"/>
          <w:sz w:val="24"/>
        </w:rPr>
      </w:pPr>
      <w:r>
        <w:rPr>
          <w:rFonts w:hint="eastAsia" w:ascii="宋体" w:hAnsi="宋体" w:eastAsia="宋体" w:cs="宋体"/>
          <w:sz w:val="24"/>
        </w:rPr>
        <w:t>(2)对采购过程提出质疑的，为各采购程序环节结束之日；</w:t>
      </w:r>
    </w:p>
    <w:p w14:paraId="43FD3CDA">
      <w:pPr>
        <w:spacing w:line="360" w:lineRule="auto"/>
        <w:ind w:firstLine="480" w:firstLineChars="200"/>
        <w:jc w:val="left"/>
        <w:rPr>
          <w:rFonts w:ascii="宋体" w:hAnsi="宋体" w:eastAsia="宋体" w:cs="宋体"/>
          <w:sz w:val="24"/>
        </w:rPr>
      </w:pPr>
      <w:r>
        <w:rPr>
          <w:rFonts w:hint="eastAsia" w:ascii="宋体" w:hAnsi="宋体" w:eastAsia="宋体" w:cs="宋体"/>
          <w:sz w:val="24"/>
        </w:rPr>
        <w:t>(3)对成交结果提出质疑的，为结果公告期限届满之日。</w:t>
      </w:r>
    </w:p>
    <w:p w14:paraId="65144F89">
      <w:pPr>
        <w:spacing w:line="360" w:lineRule="auto"/>
        <w:ind w:firstLine="480" w:firstLineChars="200"/>
        <w:jc w:val="left"/>
        <w:rPr>
          <w:rFonts w:ascii="宋体" w:hAnsi="宋体" w:eastAsia="宋体" w:cs="宋体"/>
          <w:sz w:val="24"/>
        </w:rPr>
      </w:pPr>
      <w:r>
        <w:rPr>
          <w:rFonts w:hint="eastAsia" w:ascii="宋体" w:hAnsi="宋体" w:eastAsia="宋体" w:cs="宋体"/>
          <w:sz w:val="24"/>
        </w:rPr>
        <w:t>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p>
    <w:p w14:paraId="573C1A87">
      <w:pPr>
        <w:spacing w:line="360" w:lineRule="auto"/>
        <w:ind w:firstLine="480" w:firstLineChars="200"/>
        <w:jc w:val="left"/>
        <w:rPr>
          <w:rFonts w:ascii="宋体" w:hAnsi="宋体" w:eastAsia="宋体" w:cs="宋体"/>
          <w:sz w:val="24"/>
        </w:rPr>
      </w:pPr>
      <w:r>
        <w:rPr>
          <w:rFonts w:hint="eastAsia" w:ascii="宋体" w:hAnsi="宋体" w:eastAsia="宋体" w:cs="宋体"/>
          <w:sz w:val="24"/>
        </w:rPr>
        <w:t>32.3供应商应当在法定质疑期内一次性提出针对同一采购程序环节的质疑。供应商如在法定期限内对同一采购程序环节提出多次质疑的，将只对供应商第一次质疑作出答复。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bCs/>
          <w:sz w:val="24"/>
        </w:rPr>
        <w:t>供应商如对采购需求提出质疑，除向采购人递交质疑文件外，同时向磋商组织方递交质疑文件，采购人负责处理和答复涉及采购需求的质疑内容。</w:t>
      </w:r>
    </w:p>
    <w:p w14:paraId="235694B9">
      <w:pPr>
        <w:spacing w:line="360" w:lineRule="auto"/>
        <w:ind w:firstLine="480" w:firstLineChars="200"/>
        <w:rPr>
          <w:rFonts w:ascii="宋体" w:hAnsi="宋体"/>
          <w:b/>
          <w:sz w:val="24"/>
        </w:rPr>
      </w:pPr>
      <w:r>
        <w:rPr>
          <w:rFonts w:hint="eastAsia" w:ascii="宋体" w:hAnsi="宋体" w:eastAsia="宋体" w:cs="宋体"/>
          <w:sz w:val="24"/>
        </w:rPr>
        <w:t>32.4</w:t>
      </w:r>
      <w:bookmarkStart w:id="65" w:name="EB5edbbd8b303840bdb3b55af5a67538d7"/>
      <w:r>
        <w:rPr>
          <w:rFonts w:hint="eastAsia" w:ascii="宋体" w:hAnsi="宋体"/>
          <w:sz w:val="24"/>
        </w:rPr>
        <w:t>项目质疑流程及注意事项见“江苏政府采购网”网站首页-办事指南-投诉处理流程（http://www.ccgp-jiangsu.gov.cn/jiangsu/tscllc/d1/d1d413a089cf47be917aa230fbf052c4.html）。</w:t>
      </w:r>
      <w:bookmarkEnd w:id="65"/>
    </w:p>
    <w:p w14:paraId="11CE5C36">
      <w:pPr>
        <w:spacing w:line="360" w:lineRule="auto"/>
        <w:ind w:firstLine="480" w:firstLineChars="200"/>
        <w:jc w:val="left"/>
        <w:rPr>
          <w:rFonts w:ascii="宋体" w:hAnsi="宋体" w:eastAsia="宋体" w:cs="宋体"/>
          <w:sz w:val="24"/>
        </w:rPr>
      </w:pPr>
      <w:r>
        <w:rPr>
          <w:rFonts w:hint="eastAsia" w:ascii="宋体" w:hAnsi="宋体" w:eastAsia="宋体" w:cs="宋体"/>
          <w:sz w:val="24"/>
        </w:rPr>
        <w:t>32.5采购人或磋商组织方在收到供应商的书面质疑后将及时组织调查核实，在七个工作日内作出答复，并以书面或在网站公告形式通知质疑供应商和其他有关供应商，答复的内容不涉及商业秘密。</w:t>
      </w:r>
    </w:p>
    <w:p w14:paraId="34B43F09">
      <w:pPr>
        <w:pStyle w:val="5"/>
        <w:spacing w:line="360" w:lineRule="auto"/>
        <w:rPr>
          <w:rFonts w:ascii="宋体" w:hAnsi="宋体" w:eastAsia="宋体" w:cs="宋体"/>
          <w:sz w:val="24"/>
        </w:rPr>
      </w:pPr>
      <w:bookmarkStart w:id="66" w:name="_Toc4570"/>
      <w:r>
        <w:rPr>
          <w:rFonts w:hint="eastAsia" w:ascii="宋体" w:hAnsi="宋体" w:eastAsia="宋体" w:cs="宋体"/>
          <w:sz w:val="24"/>
        </w:rPr>
        <w:t>33.投诉</w:t>
      </w:r>
      <w:bookmarkEnd w:id="66"/>
    </w:p>
    <w:p w14:paraId="01E317B0">
      <w:pPr>
        <w:spacing w:line="360" w:lineRule="auto"/>
        <w:ind w:firstLine="480" w:firstLineChars="200"/>
        <w:jc w:val="left"/>
        <w:rPr>
          <w:rFonts w:ascii="宋体" w:hAnsi="宋体" w:eastAsia="宋体" w:cs="宋体"/>
          <w:sz w:val="24"/>
        </w:rPr>
      </w:pPr>
    </w:p>
    <w:p w14:paraId="00105F22">
      <w:pPr>
        <w:spacing w:line="360" w:lineRule="auto"/>
        <w:ind w:firstLine="480" w:firstLineChars="200"/>
        <w:jc w:val="left"/>
        <w:rPr>
          <w:rFonts w:ascii="宋体" w:hAnsi="宋体" w:eastAsia="宋体" w:cs="宋体"/>
          <w:sz w:val="24"/>
        </w:rPr>
      </w:pPr>
      <w:r>
        <w:rPr>
          <w:rFonts w:hint="eastAsia" w:ascii="宋体" w:hAnsi="宋体" w:eastAsia="宋体" w:cs="宋体"/>
          <w:sz w:val="24"/>
        </w:rPr>
        <w:t>质疑供应商对采购人、磋商组织方的答复不满意，或者采购人、磋商组织方未在规定的时间内作出答复的，可以在答复期满后十五个工作日内向采购项目同级财政部门投诉。</w:t>
      </w:r>
    </w:p>
    <w:p w14:paraId="0F1E4491">
      <w:pPr>
        <w:pStyle w:val="4"/>
        <w:spacing w:before="405" w:beforeLines="130" w:after="405" w:afterLines="130" w:line="360" w:lineRule="auto"/>
        <w:jc w:val="center"/>
      </w:pPr>
      <w:bookmarkStart w:id="67" w:name="_Toc8543"/>
      <w:r>
        <w:rPr>
          <w:rFonts w:hint="eastAsia"/>
        </w:rPr>
        <w:t>八、诚实信用和解释权</w:t>
      </w:r>
      <w:bookmarkEnd w:id="67"/>
    </w:p>
    <w:p w14:paraId="08C28B46">
      <w:pPr>
        <w:pStyle w:val="5"/>
        <w:spacing w:line="360" w:lineRule="auto"/>
        <w:rPr>
          <w:rFonts w:ascii="宋体" w:hAnsi="宋体" w:eastAsia="宋体" w:cs="宋体"/>
          <w:sz w:val="24"/>
        </w:rPr>
      </w:pPr>
      <w:bookmarkStart w:id="68" w:name="_Toc1330"/>
      <w:r>
        <w:rPr>
          <w:rFonts w:hint="eastAsia" w:ascii="宋体" w:hAnsi="宋体" w:eastAsia="宋体" w:cs="宋体"/>
          <w:sz w:val="24"/>
        </w:rPr>
        <w:t>34.诚实信用</w:t>
      </w:r>
      <w:bookmarkEnd w:id="68"/>
    </w:p>
    <w:p w14:paraId="2A65A5E7">
      <w:pPr>
        <w:spacing w:line="360" w:lineRule="auto"/>
        <w:ind w:firstLine="480" w:firstLineChars="200"/>
        <w:jc w:val="left"/>
        <w:rPr>
          <w:rFonts w:ascii="宋体" w:hAnsi="宋体" w:eastAsia="宋体" w:cs="宋体"/>
          <w:sz w:val="24"/>
        </w:rPr>
      </w:pPr>
      <w:r>
        <w:rPr>
          <w:rFonts w:hint="eastAsia" w:ascii="宋体" w:hAnsi="宋体" w:eastAsia="宋体" w:cs="宋体"/>
          <w:sz w:val="24"/>
        </w:rPr>
        <w:t>34.1供应商之间不得相互串通磋商报价，不得妨碍其他供应商的公平竞争，不得损害采购人和其他供应商的合法权益。</w:t>
      </w:r>
    </w:p>
    <w:p w14:paraId="189A6A39">
      <w:pPr>
        <w:spacing w:line="360" w:lineRule="auto"/>
        <w:ind w:firstLine="480" w:firstLineChars="200"/>
        <w:jc w:val="left"/>
        <w:rPr>
          <w:rFonts w:ascii="宋体" w:hAnsi="宋体" w:eastAsia="宋体" w:cs="宋体"/>
          <w:sz w:val="24"/>
        </w:rPr>
      </w:pPr>
      <w:r>
        <w:rPr>
          <w:rFonts w:hint="eastAsia" w:ascii="宋体" w:hAnsi="宋体" w:eastAsia="宋体" w:cs="宋体"/>
          <w:sz w:val="24"/>
        </w:rPr>
        <w:t>34.2供应商不得以向磋商组织方工作人员、磋商小组成员行贿或者采取其他不正当手段谋取成交。经查实供应商有此行为的，将在“镇江市公共资源交易服务平台-政府采购”网站公告，政府采购管理部门将供应商列入不良行为记录名单，按照政府采购有关规定处理。</w:t>
      </w:r>
    </w:p>
    <w:p w14:paraId="76E9B9A0">
      <w:pPr>
        <w:spacing w:line="360" w:lineRule="auto"/>
        <w:ind w:firstLine="480" w:firstLineChars="200"/>
        <w:jc w:val="left"/>
        <w:rPr>
          <w:rFonts w:ascii="宋体" w:hAnsi="宋体" w:eastAsia="宋体" w:cs="宋体"/>
          <w:sz w:val="24"/>
        </w:rPr>
      </w:pPr>
      <w:r>
        <w:rPr>
          <w:rFonts w:hint="eastAsia" w:ascii="宋体" w:hAnsi="宋体" w:eastAsia="宋体" w:cs="宋体"/>
          <w:sz w:val="24"/>
        </w:rPr>
        <w:t>34.3供应商不得虚假承诺，否则，按照提供虚假材料谋取中标/成交处理。</w:t>
      </w:r>
    </w:p>
    <w:p w14:paraId="7F83180F">
      <w:pPr>
        <w:spacing w:line="360" w:lineRule="auto"/>
        <w:ind w:firstLine="480" w:firstLineChars="200"/>
        <w:jc w:val="left"/>
        <w:rPr>
          <w:rFonts w:ascii="宋体" w:hAnsi="宋体" w:eastAsia="宋体" w:cs="宋体"/>
          <w:sz w:val="24"/>
        </w:rPr>
      </w:pPr>
      <w:r>
        <w:rPr>
          <w:rFonts w:hint="eastAsia" w:ascii="宋体" w:hAnsi="宋体" w:eastAsia="宋体" w:cs="宋体"/>
          <w:sz w:val="24"/>
        </w:rPr>
        <w:t>34.4供应商应自觉遵守磋商纪律，扰乱磋商现场秩序的，属于失信行为，根据《江苏省政府采购供应商监督管理暂行办法》,失信行为将被记入供应商诚信档案。</w:t>
      </w:r>
    </w:p>
    <w:p w14:paraId="010E9AA9">
      <w:pPr>
        <w:spacing w:line="360" w:lineRule="auto"/>
        <w:ind w:firstLine="480" w:firstLineChars="200"/>
        <w:jc w:val="left"/>
        <w:rPr>
          <w:rFonts w:ascii="宋体" w:hAnsi="宋体" w:eastAsia="宋体" w:cs="宋体"/>
          <w:sz w:val="24"/>
        </w:rPr>
      </w:pPr>
      <w:r>
        <w:rPr>
          <w:rFonts w:hint="eastAsia" w:ascii="宋体" w:hAnsi="宋体" w:eastAsia="宋体" w:cs="宋体"/>
          <w:sz w:val="24"/>
        </w:rPr>
        <w:t>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201C6867">
      <w:pPr>
        <w:pStyle w:val="5"/>
        <w:spacing w:line="360" w:lineRule="auto"/>
        <w:rPr>
          <w:rFonts w:ascii="宋体" w:hAnsi="宋体" w:eastAsia="宋体" w:cs="宋体"/>
          <w:sz w:val="24"/>
        </w:rPr>
      </w:pPr>
      <w:bookmarkStart w:id="69" w:name="_Toc4226"/>
      <w:r>
        <w:rPr>
          <w:rFonts w:hint="eastAsia" w:ascii="宋体" w:hAnsi="宋体" w:eastAsia="宋体" w:cs="宋体"/>
          <w:sz w:val="24"/>
        </w:rPr>
        <w:t>35.解释权</w:t>
      </w:r>
      <w:bookmarkEnd w:id="69"/>
    </w:p>
    <w:p w14:paraId="69034F5D">
      <w:pPr>
        <w:spacing w:line="360" w:lineRule="auto"/>
        <w:ind w:firstLine="480" w:firstLineChars="200"/>
        <w:jc w:val="left"/>
        <w:rPr>
          <w:rFonts w:ascii="宋体" w:hAnsi="宋体" w:eastAsia="宋体" w:cs="宋体"/>
          <w:sz w:val="24"/>
        </w:rPr>
      </w:pPr>
      <w:r>
        <w:rPr>
          <w:rFonts w:hint="eastAsia" w:ascii="宋体" w:hAnsi="宋体" w:eastAsia="宋体" w:cs="宋体"/>
          <w:sz w:val="24"/>
        </w:rPr>
        <w:t>35.1除相关法律、法规规定外，本磋商文件的解释权归</w:t>
      </w:r>
      <w:r>
        <w:rPr>
          <w:rFonts w:hint="eastAsia" w:ascii="宋体" w:hAnsi="宋体" w:eastAsia="宋体" w:cs="宋体"/>
          <w:sz w:val="24"/>
          <w:lang w:eastAsia="zh-CN"/>
        </w:rPr>
        <w:t>江苏顺天工程项目管理咨询有限公司</w:t>
      </w:r>
      <w:r>
        <w:rPr>
          <w:rFonts w:hint="eastAsia" w:ascii="宋体" w:hAnsi="宋体" w:eastAsia="宋体" w:cs="宋体"/>
          <w:sz w:val="24"/>
        </w:rPr>
        <w:t>所有。</w:t>
      </w:r>
    </w:p>
    <w:p w14:paraId="48F45A7F">
      <w:pPr>
        <w:pStyle w:val="5"/>
        <w:spacing w:line="360" w:lineRule="auto"/>
        <w:rPr>
          <w:rFonts w:ascii="宋体" w:hAnsi="宋体" w:eastAsia="宋体" w:cs="宋体"/>
          <w:sz w:val="24"/>
        </w:rPr>
      </w:pPr>
      <w:bookmarkStart w:id="70" w:name="_Toc16490"/>
      <w:r>
        <w:rPr>
          <w:rFonts w:hint="eastAsia" w:ascii="宋体" w:hAnsi="宋体" w:eastAsia="宋体" w:cs="宋体"/>
          <w:sz w:val="24"/>
        </w:rPr>
        <w:t>36.适用法律及约束力</w:t>
      </w:r>
      <w:bookmarkEnd w:id="70"/>
    </w:p>
    <w:p w14:paraId="614096AC">
      <w:pPr>
        <w:spacing w:line="360" w:lineRule="auto"/>
        <w:ind w:firstLine="480" w:firstLineChars="200"/>
        <w:jc w:val="left"/>
        <w:rPr>
          <w:rFonts w:ascii="宋体" w:hAnsi="宋体" w:eastAsia="宋体" w:cs="宋体"/>
          <w:sz w:val="24"/>
        </w:rPr>
      </w:pPr>
      <w:r>
        <w:rPr>
          <w:rFonts w:hint="eastAsia" w:ascii="宋体" w:hAnsi="宋体" w:eastAsia="宋体" w:cs="宋体"/>
          <w:sz w:val="24"/>
        </w:rPr>
        <w:t>36.1供应商一旦获取了本磋商文件并参加磋商，即被认为接受了本磋商文件的规定和约束。</w:t>
      </w:r>
    </w:p>
    <w:p w14:paraId="05E12AD7">
      <w:pPr>
        <w:spacing w:line="360" w:lineRule="auto"/>
        <w:ind w:firstLine="480" w:firstLineChars="200"/>
        <w:jc w:val="left"/>
        <w:rPr>
          <w:rFonts w:ascii="宋体" w:hAnsi="宋体" w:eastAsia="宋体" w:cs="宋体"/>
          <w:sz w:val="24"/>
        </w:rPr>
      </w:pPr>
      <w:r>
        <w:rPr>
          <w:rFonts w:hint="eastAsia" w:ascii="宋体" w:hAnsi="宋体" w:eastAsia="宋体" w:cs="宋体"/>
          <w:sz w:val="24"/>
        </w:rPr>
        <w:t>36.2本次采购及由本次采购产生的合同受中华人民共和国法律制约和保护。</w:t>
      </w:r>
    </w:p>
    <w:p w14:paraId="2A35323A">
      <w:pPr>
        <w:spacing w:line="360" w:lineRule="auto"/>
        <w:ind w:firstLine="480" w:firstLineChars="200"/>
        <w:jc w:val="left"/>
        <w:rPr>
          <w:rFonts w:ascii="宋体" w:hAnsi="宋体" w:eastAsia="宋体" w:cs="宋体"/>
          <w:sz w:val="24"/>
        </w:rPr>
        <w:sectPr>
          <w:headerReference r:id="rId3" w:type="default"/>
          <w:footerReference r:id="rId4" w:type="default"/>
          <w:pgSz w:w="11906" w:h="16838"/>
          <w:pgMar w:top="1440" w:right="1242" w:bottom="1440" w:left="1242" w:header="851" w:footer="992" w:gutter="0"/>
          <w:cols w:space="425" w:num="1"/>
          <w:docGrid w:type="lines" w:linePitch="312" w:charSpace="0"/>
        </w:sectPr>
      </w:pPr>
    </w:p>
    <w:p w14:paraId="55D4B6C8">
      <w:pPr>
        <w:widowControl/>
        <w:spacing w:line="360" w:lineRule="auto"/>
        <w:jc w:val="center"/>
        <w:rPr>
          <w:rFonts w:ascii="楷体" w:hAnsi="楷体" w:eastAsia="楷体"/>
          <w:b/>
          <w:sz w:val="30"/>
          <w:highlight w:val="none"/>
        </w:rPr>
      </w:pPr>
      <w:r>
        <w:rPr>
          <w:rFonts w:hint="eastAsia" w:asciiTheme="minorHAnsi" w:hAnsiTheme="minorHAnsi" w:eastAsiaTheme="minorEastAsia" w:cstheme="minorBidi"/>
          <w:b/>
          <w:kern w:val="44"/>
          <w:sz w:val="44"/>
          <w:szCs w:val="24"/>
          <w:highlight w:val="none"/>
          <w:lang w:val="en-US" w:eastAsia="zh-CN" w:bidi="ar-SA"/>
        </w:rPr>
        <w:t>第三部分    拟签订的合同文本</w:t>
      </w:r>
    </w:p>
    <w:p w14:paraId="55F35AA6">
      <w:pPr>
        <w:pStyle w:val="4"/>
        <w:jc w:val="center"/>
        <w:rPr>
          <w:rFonts w:hint="eastAsia" w:asciiTheme="minorEastAsia" w:hAnsiTheme="minorEastAsia" w:eastAsiaTheme="minorEastAsia" w:cstheme="minorEastAsia"/>
          <w:b/>
          <w:sz w:val="24"/>
          <w:szCs w:val="24"/>
          <w:lang w:eastAsia="zh-CN"/>
        </w:rPr>
      </w:pPr>
    </w:p>
    <w:p w14:paraId="0BD4109B">
      <w:pPr>
        <w:pStyle w:val="4"/>
        <w:jc w:val="center"/>
        <w:rPr>
          <w:rFonts w:hint="eastAsia" w:asciiTheme="minorEastAsia" w:hAnsiTheme="minorEastAsia" w:eastAsiaTheme="minorEastAsia" w:cstheme="minorEastAsia"/>
          <w:b/>
          <w:sz w:val="24"/>
          <w:szCs w:val="24"/>
          <w:lang w:eastAsia="zh-CN"/>
        </w:rPr>
      </w:pPr>
    </w:p>
    <w:p w14:paraId="226CF8B8">
      <w:pPr>
        <w:pStyle w:val="4"/>
        <w:jc w:val="center"/>
        <w:rPr>
          <w:rFonts w:hint="eastAsia" w:asciiTheme="minorEastAsia" w:hAnsiTheme="minorEastAsia" w:eastAsiaTheme="minorEastAsia" w:cstheme="minorEastAsia"/>
          <w:b/>
          <w:sz w:val="24"/>
          <w:szCs w:val="24"/>
        </w:rPr>
      </w:pPr>
      <w:bookmarkStart w:id="71" w:name="_Toc6295"/>
      <w:r>
        <w:rPr>
          <w:rFonts w:hint="eastAsia" w:asciiTheme="minorEastAsia" w:hAnsiTheme="minorEastAsia" w:eastAsiaTheme="minorEastAsia" w:cstheme="minorEastAsia"/>
          <w:b/>
          <w:sz w:val="24"/>
          <w:szCs w:val="24"/>
          <w:lang w:eastAsia="zh-CN"/>
        </w:rPr>
        <w:t>代建管理</w:t>
      </w:r>
      <w:r>
        <w:rPr>
          <w:rFonts w:hint="eastAsia" w:asciiTheme="minorEastAsia" w:hAnsiTheme="minorEastAsia" w:eastAsiaTheme="minorEastAsia" w:cstheme="minorEastAsia"/>
          <w:b/>
          <w:sz w:val="24"/>
          <w:szCs w:val="24"/>
        </w:rPr>
        <w:t>服务合同</w:t>
      </w:r>
      <w:bookmarkEnd w:id="71"/>
    </w:p>
    <w:p w14:paraId="731AD9D8">
      <w:pPr>
        <w:widowControl/>
        <w:jc w:val="left"/>
        <w:rPr>
          <w:rFonts w:hint="eastAsia" w:asciiTheme="minorEastAsia" w:hAnsiTheme="minorEastAsia" w:eastAsiaTheme="minorEastAsia" w:cstheme="minorEastAsia"/>
          <w:b/>
          <w:bCs/>
          <w:color w:val="000000"/>
          <w:kern w:val="0"/>
          <w:sz w:val="24"/>
          <w:szCs w:val="24"/>
          <w:lang w:bidi="ar"/>
        </w:rPr>
      </w:pPr>
    </w:p>
    <w:p w14:paraId="24ACBCB4">
      <w:pPr>
        <w:widowControl/>
        <w:jc w:val="left"/>
        <w:rPr>
          <w:rFonts w:hint="eastAsia" w:asciiTheme="minorEastAsia" w:hAnsiTheme="minorEastAsia" w:eastAsiaTheme="minorEastAsia" w:cstheme="minorEastAsia"/>
          <w:b/>
          <w:bCs/>
          <w:color w:val="000000"/>
          <w:kern w:val="0"/>
          <w:sz w:val="24"/>
          <w:szCs w:val="24"/>
          <w:lang w:bidi="ar"/>
        </w:rPr>
      </w:pPr>
    </w:p>
    <w:p w14:paraId="14F33879">
      <w:pPr>
        <w:widowControl/>
        <w:jc w:val="left"/>
        <w:rPr>
          <w:rFonts w:hint="eastAsia" w:asciiTheme="minorEastAsia" w:hAnsiTheme="minorEastAsia" w:eastAsiaTheme="minorEastAsia" w:cstheme="minorEastAsia"/>
          <w:b/>
          <w:bCs/>
          <w:color w:val="000000"/>
          <w:kern w:val="0"/>
          <w:sz w:val="24"/>
          <w:szCs w:val="24"/>
          <w:lang w:bidi="ar"/>
        </w:rPr>
      </w:pPr>
    </w:p>
    <w:p w14:paraId="6DC65295">
      <w:pPr>
        <w:widowControl/>
        <w:jc w:val="left"/>
        <w:rPr>
          <w:rFonts w:hint="eastAsia" w:asciiTheme="minorEastAsia" w:hAnsiTheme="minorEastAsia" w:eastAsiaTheme="minorEastAsia" w:cstheme="minorEastAsia"/>
          <w:b/>
          <w:bCs/>
          <w:color w:val="000000"/>
          <w:kern w:val="0"/>
          <w:sz w:val="24"/>
          <w:szCs w:val="24"/>
          <w:lang w:bidi="ar"/>
        </w:rPr>
      </w:pPr>
    </w:p>
    <w:p w14:paraId="3A9A4FF4">
      <w:pPr>
        <w:widowControl/>
        <w:jc w:val="left"/>
        <w:rPr>
          <w:rFonts w:hint="eastAsia" w:asciiTheme="minorEastAsia" w:hAnsiTheme="minorEastAsia" w:eastAsiaTheme="minorEastAsia" w:cstheme="minorEastAsia"/>
          <w:b/>
          <w:bCs/>
          <w:color w:val="000000"/>
          <w:kern w:val="0"/>
          <w:sz w:val="24"/>
          <w:szCs w:val="24"/>
          <w:lang w:bidi="ar"/>
        </w:rPr>
      </w:pPr>
    </w:p>
    <w:p w14:paraId="342BE564">
      <w:pPr>
        <w:widowControl/>
        <w:jc w:val="left"/>
        <w:rPr>
          <w:rFonts w:hint="eastAsia" w:asciiTheme="minorEastAsia" w:hAnsiTheme="minorEastAsia" w:cstheme="minorEastAsia"/>
          <w:b/>
          <w:bCs/>
          <w:color w:val="000000"/>
          <w:kern w:val="0"/>
          <w:sz w:val="24"/>
          <w:szCs w:val="24"/>
          <w:lang w:val="en-US" w:eastAsia="zh-CN" w:bidi="ar"/>
        </w:rPr>
      </w:pPr>
    </w:p>
    <w:p w14:paraId="147FBD93">
      <w:pPr>
        <w:widowControl/>
        <w:jc w:val="left"/>
        <w:rPr>
          <w:rFonts w:hint="eastAsia" w:asciiTheme="minorEastAsia" w:hAnsiTheme="minorEastAsia" w:cstheme="minorEastAsia"/>
          <w:b/>
          <w:bCs/>
          <w:color w:val="000000"/>
          <w:kern w:val="0"/>
          <w:sz w:val="24"/>
          <w:szCs w:val="24"/>
          <w:lang w:val="en-US" w:eastAsia="zh-CN" w:bidi="ar"/>
        </w:rPr>
      </w:pPr>
    </w:p>
    <w:p w14:paraId="35E1B41C">
      <w:pPr>
        <w:widowControl/>
        <w:jc w:val="left"/>
        <w:rPr>
          <w:rFonts w:hint="eastAsia" w:asciiTheme="minorEastAsia" w:hAnsiTheme="minorEastAsia" w:cstheme="minorEastAsia"/>
          <w:b/>
          <w:bCs/>
          <w:color w:val="000000"/>
          <w:kern w:val="0"/>
          <w:sz w:val="24"/>
          <w:szCs w:val="24"/>
          <w:lang w:val="en-US" w:eastAsia="zh-CN" w:bidi="ar"/>
        </w:rPr>
      </w:pPr>
    </w:p>
    <w:p w14:paraId="25296007">
      <w:pPr>
        <w:widowControl/>
        <w:jc w:val="left"/>
        <w:rPr>
          <w:rFonts w:hint="eastAsia" w:asciiTheme="minorEastAsia" w:hAnsiTheme="minorEastAsia" w:cstheme="minorEastAsia"/>
          <w:b/>
          <w:bCs/>
          <w:color w:val="000000"/>
          <w:kern w:val="0"/>
          <w:sz w:val="24"/>
          <w:szCs w:val="24"/>
          <w:lang w:val="en-US" w:eastAsia="zh-CN" w:bidi="ar"/>
        </w:rPr>
      </w:pPr>
    </w:p>
    <w:p w14:paraId="4A780475">
      <w:pPr>
        <w:widowControl/>
        <w:jc w:val="left"/>
        <w:rPr>
          <w:rFonts w:hint="eastAsia" w:asciiTheme="minorEastAsia" w:hAnsiTheme="minorEastAsia" w:cstheme="minorEastAsia"/>
          <w:b/>
          <w:bCs/>
          <w:color w:val="000000"/>
          <w:kern w:val="0"/>
          <w:sz w:val="24"/>
          <w:szCs w:val="24"/>
          <w:lang w:val="en-US" w:eastAsia="zh-CN" w:bidi="ar"/>
        </w:rPr>
      </w:pPr>
    </w:p>
    <w:p w14:paraId="47EC6F11">
      <w:pPr>
        <w:widowControl/>
        <w:jc w:val="left"/>
        <w:rPr>
          <w:rFonts w:hint="eastAsia" w:asciiTheme="minorEastAsia" w:hAnsiTheme="minorEastAsia" w:cstheme="minorEastAsia"/>
          <w:b/>
          <w:bCs/>
          <w:color w:val="000000"/>
          <w:kern w:val="0"/>
          <w:sz w:val="24"/>
          <w:szCs w:val="24"/>
          <w:lang w:val="en-US" w:eastAsia="zh-CN" w:bidi="ar"/>
        </w:rPr>
      </w:pPr>
    </w:p>
    <w:p w14:paraId="75F95167">
      <w:pPr>
        <w:widowControl/>
        <w:jc w:val="left"/>
        <w:rPr>
          <w:rFonts w:hint="eastAsia" w:asciiTheme="minorEastAsia" w:hAnsiTheme="minorEastAsia" w:eastAsiaTheme="minorEastAsia" w:cstheme="minorEastAsia"/>
          <w:sz w:val="24"/>
          <w:szCs w:val="24"/>
        </w:rPr>
      </w:pPr>
      <w:r>
        <w:rPr>
          <w:rFonts w:hint="eastAsia" w:asciiTheme="minorEastAsia" w:hAnsiTheme="minorEastAsia" w:cstheme="minorEastAsia"/>
          <w:b/>
          <w:bCs/>
          <w:color w:val="000000"/>
          <w:kern w:val="0"/>
          <w:sz w:val="24"/>
          <w:szCs w:val="24"/>
          <w:lang w:val="en-US" w:eastAsia="zh-CN" w:bidi="ar"/>
        </w:rPr>
        <w:t>项 目</w:t>
      </w:r>
      <w:r>
        <w:rPr>
          <w:rFonts w:hint="eastAsia" w:asciiTheme="minorEastAsia" w:hAnsiTheme="minorEastAsia" w:eastAsiaTheme="minorEastAsia" w:cstheme="minorEastAsia"/>
          <w:b/>
          <w:bCs/>
          <w:color w:val="000000"/>
          <w:kern w:val="0"/>
          <w:sz w:val="24"/>
          <w:szCs w:val="24"/>
          <w:lang w:bidi="ar"/>
        </w:rPr>
        <w:t xml:space="preserve"> 名 称： </w:t>
      </w:r>
    </w:p>
    <w:p w14:paraId="065DB1FE">
      <w:pPr>
        <w:widowControl/>
        <w:jc w:val="left"/>
        <w:rPr>
          <w:rFonts w:hint="eastAsia" w:asciiTheme="minorEastAsia" w:hAnsiTheme="minorEastAsia" w:eastAsiaTheme="minorEastAsia" w:cstheme="minorEastAsia"/>
          <w:sz w:val="24"/>
          <w:szCs w:val="24"/>
        </w:rPr>
      </w:pPr>
      <w:r>
        <w:rPr>
          <w:rFonts w:hint="eastAsia" w:asciiTheme="minorEastAsia" w:hAnsiTheme="minorEastAsia" w:cstheme="minorEastAsia"/>
          <w:b/>
          <w:bCs/>
          <w:color w:val="000000"/>
          <w:kern w:val="0"/>
          <w:sz w:val="24"/>
          <w:szCs w:val="24"/>
          <w:lang w:val="en-US" w:eastAsia="zh-CN" w:bidi="ar"/>
        </w:rPr>
        <w:t>项 目</w:t>
      </w:r>
      <w:r>
        <w:rPr>
          <w:rFonts w:hint="eastAsia" w:asciiTheme="minorEastAsia" w:hAnsiTheme="minorEastAsia" w:eastAsiaTheme="minorEastAsia" w:cstheme="minorEastAsia"/>
          <w:b/>
          <w:bCs/>
          <w:color w:val="000000"/>
          <w:kern w:val="0"/>
          <w:sz w:val="24"/>
          <w:szCs w:val="24"/>
          <w:lang w:bidi="ar"/>
        </w:rPr>
        <w:t xml:space="preserve"> 地 点： </w:t>
      </w:r>
    </w:p>
    <w:p w14:paraId="4B02192A">
      <w:pPr>
        <w:widowControl/>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bidi="ar"/>
        </w:rPr>
        <w:t xml:space="preserve">合 同 编 号： </w:t>
      </w:r>
    </w:p>
    <w:p w14:paraId="42FEAB3C">
      <w:pPr>
        <w:widowControl/>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bidi="ar"/>
        </w:rPr>
        <w:t xml:space="preserve">证书等级： </w:t>
      </w:r>
    </w:p>
    <w:p w14:paraId="6CB32A61">
      <w:pPr>
        <w:widowControl/>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bidi="ar"/>
        </w:rPr>
        <w:t xml:space="preserve">发 包 人： </w:t>
      </w:r>
    </w:p>
    <w:p w14:paraId="37BEEBDD">
      <w:pPr>
        <w:widowControl/>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bidi="ar"/>
        </w:rPr>
        <w:t xml:space="preserve">承 包 人： </w:t>
      </w:r>
    </w:p>
    <w:p w14:paraId="6C7E60E0">
      <w:pPr>
        <w:widowControl/>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bidi="ar"/>
        </w:rPr>
        <w:t>签</w:t>
      </w:r>
      <w:r>
        <w:rPr>
          <w:rFonts w:hint="eastAsia" w:asciiTheme="minorEastAsia" w:hAnsiTheme="minorEastAsia" w:eastAsiaTheme="minorEastAsia" w:cstheme="minorEastAsia"/>
          <w:color w:val="000000"/>
          <w:kern w:val="0"/>
          <w:sz w:val="24"/>
          <w:szCs w:val="24"/>
          <w:lang w:bidi="ar"/>
        </w:rPr>
        <w:t xml:space="preserve"> </w:t>
      </w:r>
      <w:r>
        <w:rPr>
          <w:rFonts w:hint="eastAsia" w:asciiTheme="minorEastAsia" w:hAnsiTheme="minorEastAsia" w:eastAsiaTheme="minorEastAsia" w:cstheme="minorEastAsia"/>
          <w:b/>
          <w:bCs/>
          <w:color w:val="000000"/>
          <w:kern w:val="0"/>
          <w:sz w:val="24"/>
          <w:szCs w:val="24"/>
          <w:lang w:bidi="ar"/>
        </w:rPr>
        <w:t>订 日 期： 年</w:t>
      </w:r>
      <w:r>
        <w:rPr>
          <w:rFonts w:hint="eastAsia" w:asciiTheme="minorEastAsia" w:hAnsiTheme="minorEastAsia" w:eastAsiaTheme="minorEastAsia" w:cstheme="minorEastAsia"/>
          <w:color w:val="000000"/>
          <w:kern w:val="0"/>
          <w:sz w:val="24"/>
          <w:szCs w:val="24"/>
          <w:lang w:bidi="ar"/>
        </w:rPr>
        <w:t xml:space="preserve"> </w:t>
      </w:r>
      <w:r>
        <w:rPr>
          <w:rFonts w:hint="eastAsia" w:asciiTheme="minorEastAsia" w:hAnsiTheme="minorEastAsia" w:eastAsiaTheme="minorEastAsia" w:cstheme="minorEastAsia"/>
          <w:b/>
          <w:bCs/>
          <w:color w:val="000000"/>
          <w:kern w:val="0"/>
          <w:sz w:val="24"/>
          <w:szCs w:val="24"/>
          <w:lang w:bidi="ar"/>
        </w:rPr>
        <w:t>月</w:t>
      </w:r>
      <w:r>
        <w:rPr>
          <w:rFonts w:hint="eastAsia" w:asciiTheme="minorEastAsia" w:hAnsiTheme="minorEastAsia" w:eastAsiaTheme="minorEastAsia" w:cstheme="minorEastAsia"/>
          <w:color w:val="000000"/>
          <w:kern w:val="0"/>
          <w:sz w:val="24"/>
          <w:szCs w:val="24"/>
          <w:lang w:bidi="ar"/>
        </w:rPr>
        <w:t xml:space="preserve"> </w:t>
      </w:r>
      <w:r>
        <w:rPr>
          <w:rFonts w:hint="eastAsia" w:asciiTheme="minorEastAsia" w:hAnsiTheme="minorEastAsia" w:eastAsiaTheme="minorEastAsia" w:cstheme="minorEastAsia"/>
          <w:b/>
          <w:bCs/>
          <w:color w:val="000000"/>
          <w:kern w:val="0"/>
          <w:sz w:val="24"/>
          <w:szCs w:val="24"/>
          <w:lang w:bidi="ar"/>
        </w:rPr>
        <w:t>日</w:t>
      </w:r>
    </w:p>
    <w:p w14:paraId="075A7BA5">
      <w:pPr>
        <w:rPr>
          <w:rFonts w:hint="eastAsia" w:asciiTheme="minorEastAsia" w:hAnsiTheme="minorEastAsia" w:eastAsiaTheme="minorEastAsia" w:cstheme="minorEastAsia"/>
          <w:sz w:val="24"/>
          <w:szCs w:val="24"/>
        </w:rPr>
      </w:pPr>
    </w:p>
    <w:p w14:paraId="05A1EAD5">
      <w:pPr>
        <w:widowControl/>
        <w:jc w:val="left"/>
        <w:rPr>
          <w:rFonts w:hint="eastAsia" w:asciiTheme="minorEastAsia" w:hAnsiTheme="minorEastAsia" w:eastAsiaTheme="minorEastAsia" w:cstheme="minorEastAsia"/>
          <w:b/>
          <w:bCs/>
          <w:color w:val="000000"/>
          <w:kern w:val="0"/>
          <w:sz w:val="24"/>
          <w:szCs w:val="24"/>
          <w:lang w:bidi="ar"/>
        </w:rPr>
      </w:pPr>
    </w:p>
    <w:p w14:paraId="15E920D1">
      <w:pPr>
        <w:widowControl/>
        <w:jc w:val="left"/>
        <w:rPr>
          <w:rFonts w:hint="eastAsia" w:asciiTheme="minorEastAsia" w:hAnsiTheme="minorEastAsia" w:eastAsiaTheme="minorEastAsia" w:cstheme="minorEastAsia"/>
          <w:b/>
          <w:bCs/>
          <w:color w:val="000000"/>
          <w:kern w:val="0"/>
          <w:sz w:val="24"/>
          <w:szCs w:val="24"/>
          <w:lang w:bidi="ar"/>
        </w:rPr>
      </w:pPr>
    </w:p>
    <w:p w14:paraId="12F32B14">
      <w:pPr>
        <w:widowControl/>
        <w:jc w:val="left"/>
        <w:rPr>
          <w:rFonts w:hint="eastAsia" w:asciiTheme="minorEastAsia" w:hAnsiTheme="minorEastAsia" w:eastAsiaTheme="minorEastAsia" w:cstheme="minorEastAsia"/>
          <w:b/>
          <w:bCs/>
          <w:color w:val="000000"/>
          <w:kern w:val="0"/>
          <w:sz w:val="24"/>
          <w:szCs w:val="24"/>
          <w:lang w:bidi="ar"/>
        </w:rPr>
      </w:pPr>
    </w:p>
    <w:p w14:paraId="0CC2B7FE">
      <w:pPr>
        <w:widowControl/>
        <w:jc w:val="both"/>
        <w:rPr>
          <w:rFonts w:hint="eastAsia" w:asciiTheme="minorEastAsia" w:hAnsiTheme="minorEastAsia" w:eastAsiaTheme="minorEastAsia" w:cstheme="minorEastAsia"/>
          <w:b/>
          <w:bCs/>
          <w:color w:val="000000"/>
          <w:kern w:val="0"/>
          <w:sz w:val="24"/>
          <w:szCs w:val="24"/>
          <w:lang w:bidi="ar"/>
        </w:rPr>
      </w:pPr>
    </w:p>
    <w:p w14:paraId="60705569">
      <w:pPr>
        <w:widowControl/>
        <w:jc w:val="center"/>
        <w:rPr>
          <w:rFonts w:hint="eastAsia" w:asciiTheme="minorEastAsia" w:hAnsiTheme="minorEastAsia" w:eastAsiaTheme="minorEastAsia" w:cstheme="minorEastAsia"/>
          <w:b/>
          <w:bCs/>
          <w:color w:val="000000"/>
          <w:kern w:val="0"/>
          <w:sz w:val="24"/>
          <w:szCs w:val="24"/>
          <w:lang w:bidi="ar"/>
        </w:rPr>
      </w:pPr>
    </w:p>
    <w:p w14:paraId="5198B088">
      <w:pPr>
        <w:widowControl/>
        <w:jc w:val="center"/>
        <w:rPr>
          <w:rFonts w:hint="eastAsia" w:asciiTheme="minorEastAsia" w:hAnsiTheme="minorEastAsia" w:eastAsiaTheme="minorEastAsia" w:cstheme="minorEastAsia"/>
          <w:b/>
          <w:bCs/>
          <w:color w:val="000000"/>
          <w:kern w:val="0"/>
          <w:sz w:val="24"/>
          <w:szCs w:val="24"/>
          <w:lang w:bidi="ar"/>
        </w:rPr>
      </w:pPr>
    </w:p>
    <w:p w14:paraId="1F04860E">
      <w:pPr>
        <w:widowControl/>
        <w:jc w:val="center"/>
        <w:rPr>
          <w:rFonts w:hint="eastAsia" w:asciiTheme="minorEastAsia" w:hAnsiTheme="minorEastAsia" w:eastAsiaTheme="minorEastAsia" w:cstheme="minorEastAsia"/>
          <w:b/>
          <w:bCs/>
          <w:color w:val="000000"/>
          <w:kern w:val="0"/>
          <w:sz w:val="24"/>
          <w:szCs w:val="24"/>
          <w:lang w:bidi="ar"/>
        </w:rPr>
      </w:pPr>
    </w:p>
    <w:p w14:paraId="25BD67CE">
      <w:pPr>
        <w:widowControl/>
        <w:jc w:val="center"/>
        <w:rPr>
          <w:rFonts w:hint="eastAsia" w:asciiTheme="minorEastAsia" w:hAnsiTheme="minorEastAsia" w:eastAsiaTheme="minorEastAsia" w:cstheme="minorEastAsia"/>
          <w:b/>
          <w:bCs/>
          <w:color w:val="000000"/>
          <w:kern w:val="0"/>
          <w:sz w:val="24"/>
          <w:szCs w:val="24"/>
          <w:lang w:bidi="ar"/>
        </w:rPr>
      </w:pPr>
    </w:p>
    <w:p w14:paraId="2A731E5D">
      <w:pPr>
        <w:widowControl/>
        <w:jc w:val="center"/>
        <w:rPr>
          <w:rFonts w:hint="eastAsia" w:asciiTheme="minorEastAsia" w:hAnsiTheme="minorEastAsia" w:eastAsiaTheme="minorEastAsia" w:cstheme="minorEastAsia"/>
          <w:b/>
          <w:bCs/>
          <w:color w:val="000000"/>
          <w:kern w:val="0"/>
          <w:sz w:val="24"/>
          <w:szCs w:val="24"/>
          <w:lang w:bidi="ar"/>
        </w:rPr>
      </w:pPr>
    </w:p>
    <w:p w14:paraId="502A2DC4">
      <w:pPr>
        <w:widowControl/>
        <w:jc w:val="center"/>
        <w:rPr>
          <w:rFonts w:hint="eastAsia" w:asciiTheme="minorEastAsia" w:hAnsiTheme="minorEastAsia" w:eastAsiaTheme="minorEastAsia" w:cstheme="minorEastAsia"/>
          <w:b/>
          <w:bCs/>
          <w:color w:val="000000"/>
          <w:kern w:val="0"/>
          <w:sz w:val="24"/>
          <w:szCs w:val="24"/>
          <w:lang w:bidi="ar"/>
        </w:rPr>
      </w:pPr>
    </w:p>
    <w:p w14:paraId="6B31E42E">
      <w:pPr>
        <w:widowControl/>
        <w:jc w:val="center"/>
        <w:rPr>
          <w:rFonts w:hint="eastAsia" w:asciiTheme="minorEastAsia" w:hAnsiTheme="minorEastAsia" w:eastAsiaTheme="minorEastAsia" w:cstheme="minorEastAsia"/>
          <w:b/>
          <w:bCs/>
          <w:color w:val="000000"/>
          <w:kern w:val="0"/>
          <w:sz w:val="24"/>
          <w:szCs w:val="24"/>
          <w:lang w:bidi="ar"/>
        </w:rPr>
      </w:pPr>
    </w:p>
    <w:p w14:paraId="4D84B0C9">
      <w:pPr>
        <w:widowControl/>
        <w:jc w:val="center"/>
        <w:rPr>
          <w:rFonts w:hint="eastAsia" w:asciiTheme="minorEastAsia" w:hAnsiTheme="minorEastAsia" w:eastAsiaTheme="minorEastAsia" w:cstheme="minorEastAsia"/>
          <w:b/>
          <w:bCs/>
          <w:color w:val="000000"/>
          <w:kern w:val="0"/>
          <w:sz w:val="24"/>
          <w:szCs w:val="24"/>
          <w:lang w:bidi="ar"/>
        </w:rPr>
      </w:pPr>
    </w:p>
    <w:p w14:paraId="090FF0CA">
      <w:pPr>
        <w:widowControl/>
        <w:jc w:val="center"/>
        <w:rPr>
          <w:rFonts w:hint="eastAsia" w:asciiTheme="minorEastAsia" w:hAnsiTheme="minorEastAsia" w:eastAsiaTheme="minorEastAsia" w:cstheme="minorEastAsia"/>
          <w:b/>
          <w:bCs/>
          <w:color w:val="000000"/>
          <w:kern w:val="0"/>
          <w:sz w:val="24"/>
          <w:szCs w:val="24"/>
          <w:lang w:bidi="ar"/>
        </w:rPr>
      </w:pPr>
    </w:p>
    <w:p w14:paraId="1861F034">
      <w:pPr>
        <w:widowControl/>
        <w:jc w:val="center"/>
        <w:rPr>
          <w:rFonts w:hint="eastAsia" w:asciiTheme="minorEastAsia" w:hAnsiTheme="minorEastAsia" w:eastAsiaTheme="minorEastAsia" w:cstheme="minorEastAsia"/>
          <w:b/>
          <w:bCs/>
          <w:color w:val="000000"/>
          <w:kern w:val="0"/>
          <w:sz w:val="24"/>
          <w:szCs w:val="24"/>
          <w:lang w:bidi="ar"/>
        </w:rPr>
      </w:pPr>
    </w:p>
    <w:p w14:paraId="281B9552">
      <w:pPr>
        <w:widowControl/>
        <w:jc w:val="center"/>
        <w:rPr>
          <w:rFonts w:hint="eastAsia" w:asciiTheme="minorEastAsia" w:hAnsiTheme="minorEastAsia" w:eastAsiaTheme="minorEastAsia" w:cstheme="minorEastAsia"/>
          <w:b/>
          <w:bCs/>
          <w:color w:val="000000"/>
          <w:kern w:val="0"/>
          <w:sz w:val="24"/>
          <w:szCs w:val="24"/>
          <w:lang w:bidi="ar"/>
        </w:rPr>
      </w:pPr>
    </w:p>
    <w:p w14:paraId="6E871344">
      <w:pPr>
        <w:widowControl/>
        <w:jc w:val="center"/>
        <w:rPr>
          <w:rFonts w:hint="eastAsia" w:asciiTheme="minorEastAsia" w:hAnsiTheme="minorEastAsia" w:eastAsiaTheme="minorEastAsia" w:cstheme="minorEastAsia"/>
          <w:b/>
          <w:bCs/>
          <w:color w:val="000000"/>
          <w:kern w:val="0"/>
          <w:sz w:val="24"/>
          <w:szCs w:val="24"/>
          <w:lang w:bidi="ar"/>
        </w:rPr>
      </w:pPr>
    </w:p>
    <w:p w14:paraId="1DE59A18">
      <w:pPr>
        <w:widowControl/>
        <w:jc w:val="center"/>
        <w:rPr>
          <w:rFonts w:hint="eastAsia" w:asciiTheme="minorEastAsia" w:hAnsiTheme="minorEastAsia" w:eastAsiaTheme="minorEastAsia" w:cstheme="minorEastAsia"/>
          <w:b/>
          <w:bCs/>
          <w:color w:val="000000"/>
          <w:kern w:val="0"/>
          <w:sz w:val="24"/>
          <w:szCs w:val="24"/>
          <w:lang w:bidi="ar"/>
        </w:rPr>
      </w:pPr>
    </w:p>
    <w:p w14:paraId="599C3782">
      <w:pPr>
        <w:widowControl/>
        <w:jc w:val="center"/>
        <w:rPr>
          <w:rFonts w:hint="eastAsia" w:asciiTheme="minorEastAsia" w:hAnsiTheme="minorEastAsia" w:eastAsiaTheme="minorEastAsia" w:cstheme="minorEastAsia"/>
          <w:b/>
          <w:bCs/>
          <w:color w:val="000000"/>
          <w:kern w:val="0"/>
          <w:sz w:val="24"/>
          <w:szCs w:val="24"/>
          <w:lang w:bidi="ar"/>
        </w:rPr>
      </w:pPr>
    </w:p>
    <w:p w14:paraId="3ED5549F">
      <w:pPr>
        <w:widowControl/>
        <w:jc w:val="center"/>
        <w:rPr>
          <w:rFonts w:hint="eastAsia" w:asciiTheme="minorEastAsia" w:hAnsiTheme="minorEastAsia" w:eastAsiaTheme="minorEastAsia" w:cstheme="minorEastAsia"/>
          <w:b/>
          <w:bCs/>
          <w:color w:val="000000"/>
          <w:kern w:val="0"/>
          <w:sz w:val="24"/>
          <w:szCs w:val="24"/>
          <w:lang w:bidi="ar"/>
        </w:rPr>
      </w:pPr>
    </w:p>
    <w:p w14:paraId="24DB94DD">
      <w:pPr>
        <w:widowControl/>
        <w:jc w:val="center"/>
        <w:rPr>
          <w:rFonts w:hint="eastAsia" w:asciiTheme="minorEastAsia" w:hAnsiTheme="minorEastAsia" w:eastAsiaTheme="minorEastAsia" w:cstheme="minorEastAsia"/>
          <w:b/>
          <w:bCs/>
          <w:color w:val="000000"/>
          <w:kern w:val="0"/>
          <w:sz w:val="24"/>
          <w:szCs w:val="24"/>
          <w:lang w:bidi="ar"/>
        </w:rPr>
      </w:pPr>
    </w:p>
    <w:p w14:paraId="683093FB">
      <w:pPr>
        <w:widowControl/>
        <w:jc w:val="center"/>
        <w:rPr>
          <w:rFonts w:hint="eastAsia" w:asciiTheme="minorEastAsia" w:hAnsiTheme="minorEastAsia" w:eastAsiaTheme="minorEastAsia" w:cstheme="minorEastAsia"/>
          <w:b/>
          <w:bCs/>
          <w:color w:val="000000"/>
          <w:kern w:val="0"/>
          <w:sz w:val="24"/>
          <w:szCs w:val="24"/>
          <w:lang w:bidi="ar"/>
        </w:rPr>
      </w:pPr>
    </w:p>
    <w:p w14:paraId="5D88CC8A">
      <w:pPr>
        <w:widowControl/>
        <w:jc w:val="center"/>
        <w:rPr>
          <w:rFonts w:hint="eastAsia" w:asciiTheme="minorEastAsia" w:hAnsiTheme="minorEastAsia" w:eastAsiaTheme="minorEastAsia" w:cstheme="minorEastAsia"/>
          <w:b/>
          <w:bCs/>
          <w:color w:val="000000"/>
          <w:kern w:val="0"/>
          <w:sz w:val="24"/>
          <w:szCs w:val="24"/>
          <w:lang w:bidi="ar"/>
        </w:rPr>
      </w:pPr>
    </w:p>
    <w:p w14:paraId="11E397AA">
      <w:pPr>
        <w:widowControl/>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bidi="ar"/>
        </w:rPr>
        <w:t>合同主要条款</w:t>
      </w:r>
    </w:p>
    <w:p w14:paraId="4544F7B3">
      <w:pPr>
        <w:widowControl/>
        <w:spacing w:line="360" w:lineRule="auto"/>
        <w:jc w:val="left"/>
        <w:rPr>
          <w:rFonts w:hint="eastAsia" w:asciiTheme="minorEastAsia" w:hAnsiTheme="minorEastAsia" w:eastAsiaTheme="minorEastAsia" w:cstheme="minorEastAsia"/>
          <w:color w:val="000000"/>
          <w:kern w:val="0"/>
          <w:sz w:val="24"/>
          <w:szCs w:val="24"/>
          <w:lang w:bidi="ar"/>
        </w:rPr>
      </w:pPr>
    </w:p>
    <w:p w14:paraId="36A6DDE1">
      <w:pPr>
        <w:widowControl/>
        <w:spacing w:line="360" w:lineRule="auto"/>
        <w:jc w:val="left"/>
        <w:rPr>
          <w:rFonts w:hint="eastAsia" w:asciiTheme="minorEastAsia" w:hAnsiTheme="minorEastAsia" w:eastAsiaTheme="minorEastAsia" w:cstheme="minorEastAsia"/>
          <w:color w:val="000000"/>
          <w:kern w:val="0"/>
          <w:sz w:val="24"/>
          <w:szCs w:val="24"/>
          <w:lang w:bidi="ar"/>
        </w:rPr>
      </w:pPr>
    </w:p>
    <w:p w14:paraId="0AFF99EB">
      <w:pPr>
        <w:widowControl/>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 xml:space="preserve">甲方： </w:t>
      </w:r>
    </w:p>
    <w:p w14:paraId="1EB1F5DE">
      <w:pPr>
        <w:widowControl/>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 xml:space="preserve">乙方： </w:t>
      </w:r>
    </w:p>
    <w:p w14:paraId="52D9CDF4">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 xml:space="preserve">依据《中华人民共和国民法典》和其他有关法律行政法规，遵循平等、自愿、 公平和诚实信用的原则，双方就 有关事项协商一致，订立本协议。 </w:t>
      </w:r>
    </w:p>
    <w:p w14:paraId="735FE416">
      <w:pPr>
        <w:widowControl/>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 xml:space="preserve">一、 工程概况 </w:t>
      </w:r>
    </w:p>
    <w:p w14:paraId="54A1CB58">
      <w:pPr>
        <w:widowControl/>
        <w:spacing w:line="360" w:lineRule="auto"/>
        <w:jc w:val="lef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color w:val="000000"/>
          <w:kern w:val="0"/>
          <w:sz w:val="24"/>
          <w:szCs w:val="24"/>
          <w:lang w:bidi="ar"/>
        </w:rPr>
        <w:t>1、工程名称：</w:t>
      </w:r>
      <w:r>
        <w:rPr>
          <w:rFonts w:hint="eastAsia" w:asciiTheme="minorEastAsia" w:hAnsiTheme="minorEastAsia" w:eastAsiaTheme="minorEastAsia" w:cstheme="minorEastAsia"/>
          <w:color w:val="000000"/>
          <w:kern w:val="0"/>
          <w:sz w:val="24"/>
          <w:szCs w:val="24"/>
          <w:u w:val="single"/>
          <w:lang w:bidi="ar"/>
        </w:rPr>
        <w:t xml:space="preserve">栖霞区北十里长沟东支及百水河流域排水防涝综合整治工程项目代建管理 </w:t>
      </w:r>
    </w:p>
    <w:p w14:paraId="100241CD">
      <w:pPr>
        <w:widowControl/>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2、工程地点：</w:t>
      </w:r>
      <w:r>
        <w:rPr>
          <w:rFonts w:hint="eastAsia" w:asciiTheme="minorEastAsia" w:hAnsiTheme="minorEastAsia" w:eastAsiaTheme="minorEastAsia" w:cstheme="minorEastAsia"/>
          <w:color w:val="000000"/>
          <w:kern w:val="0"/>
          <w:sz w:val="24"/>
          <w:szCs w:val="24"/>
          <w:u w:val="single"/>
          <w:lang w:bidi="ar"/>
        </w:rPr>
        <w:t>南京市栖霞区</w:t>
      </w:r>
    </w:p>
    <w:p w14:paraId="19D20B75">
      <w:pPr>
        <w:widowControl/>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3、工程内容：</w:t>
      </w:r>
      <w:r>
        <w:rPr>
          <w:rFonts w:hint="eastAsia" w:asciiTheme="minorEastAsia" w:hAnsiTheme="minorEastAsia" w:eastAsiaTheme="minorEastAsia" w:cstheme="minorEastAsia"/>
          <w:color w:val="000000"/>
          <w:kern w:val="0"/>
          <w:sz w:val="24"/>
          <w:szCs w:val="24"/>
          <w:u w:val="single"/>
          <w:lang w:bidi="ar"/>
        </w:rPr>
        <w:t>项目实施内容包括但不限于：代表业主进行建设实施的项目施工管理、工程款支付管理、竣工结算和竣工验收管理等，并对工程项目进行质量、安全、进度、投资、合同、信息等管理，直至办理竣工验收手续和竣工决算、资产移交使用单位等实施过程的建设管理工作；项目的各类手续报批、报建、报表和组织协调各方面关系，整理汇编移交有关项目资料等。</w:t>
      </w:r>
    </w:p>
    <w:p w14:paraId="0306A569">
      <w:pPr>
        <w:widowControl/>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4、承包方式：</w:t>
      </w:r>
      <w:r>
        <w:rPr>
          <w:rFonts w:hint="eastAsia" w:asciiTheme="minorEastAsia" w:hAnsiTheme="minorEastAsia" w:eastAsiaTheme="minorEastAsia" w:cstheme="minorEastAsia"/>
          <w:color w:val="000000"/>
          <w:kern w:val="0"/>
          <w:sz w:val="24"/>
          <w:szCs w:val="24"/>
          <w:lang w:eastAsia="zh-CN" w:bidi="ar"/>
        </w:rPr>
        <w:t>（</w:t>
      </w:r>
      <w:r>
        <w:rPr>
          <w:rFonts w:hint="eastAsia" w:asciiTheme="minorEastAsia" w:hAnsiTheme="minorEastAsia" w:eastAsiaTheme="minorEastAsia" w:cstheme="minorEastAsia"/>
          <w:i w:val="0"/>
          <w:iCs w:val="0"/>
          <w:caps w:val="0"/>
          <w:color w:val="0F1115"/>
          <w:spacing w:val="0"/>
          <w:sz w:val="24"/>
          <w:szCs w:val="24"/>
          <w:shd w:val="clear" w:color="auto" w:fill="FFFFFF"/>
        </w:rPr>
        <w:t>项目管理和咨询服务</w:t>
      </w:r>
      <w:r>
        <w:rPr>
          <w:rFonts w:hint="eastAsia" w:asciiTheme="minorEastAsia" w:hAnsiTheme="minorEastAsia" w:eastAsiaTheme="minorEastAsia" w:cstheme="minorEastAsia"/>
          <w:color w:val="000000"/>
          <w:kern w:val="0"/>
          <w:sz w:val="24"/>
          <w:szCs w:val="24"/>
          <w:lang w:eastAsia="zh-CN" w:bidi="ar"/>
        </w:rPr>
        <w:t>）</w:t>
      </w:r>
    </w:p>
    <w:p w14:paraId="0667AC2E">
      <w:pPr>
        <w:widowControl/>
        <w:spacing w:line="360" w:lineRule="auto"/>
        <w:jc w:val="left"/>
        <w:rPr>
          <w:rFonts w:hint="eastAsia" w:asciiTheme="minorEastAsia" w:hAnsiTheme="minorEastAsia" w:eastAsiaTheme="minorEastAsia" w:cstheme="minorEastAsia"/>
          <w:color w:val="0000FF"/>
          <w:kern w:val="2"/>
          <w:sz w:val="24"/>
          <w:szCs w:val="24"/>
        </w:rPr>
      </w:pPr>
      <w:r>
        <w:rPr>
          <w:rFonts w:hint="eastAsia" w:asciiTheme="minorEastAsia" w:hAnsiTheme="minorEastAsia" w:eastAsiaTheme="minorEastAsia" w:cstheme="minorEastAsia"/>
          <w:color w:val="000000"/>
          <w:kern w:val="0"/>
          <w:sz w:val="24"/>
          <w:szCs w:val="24"/>
          <w:lang w:bidi="ar"/>
        </w:rPr>
        <w:t>5、工期：</w:t>
      </w:r>
      <w:r>
        <w:rPr>
          <w:rFonts w:hint="eastAsia" w:asciiTheme="minorEastAsia" w:hAnsiTheme="minorEastAsia" w:eastAsiaTheme="minorEastAsia" w:cstheme="minorEastAsia"/>
          <w:color w:val="000000"/>
          <w:kern w:val="0"/>
          <w:sz w:val="24"/>
          <w:szCs w:val="24"/>
          <w:u w:val="single"/>
          <w:lang w:val="en-US" w:eastAsia="zh-CN" w:bidi="ar"/>
        </w:rPr>
        <w:t xml:space="preserve">    </w:t>
      </w:r>
      <w:r>
        <w:rPr>
          <w:rFonts w:hint="eastAsia" w:asciiTheme="minorEastAsia" w:hAnsiTheme="minorEastAsia" w:eastAsiaTheme="minorEastAsia" w:cstheme="minorEastAsia"/>
          <w:color w:val="000000"/>
          <w:kern w:val="0"/>
          <w:sz w:val="24"/>
          <w:szCs w:val="24"/>
          <w:lang w:bidi="ar"/>
        </w:rPr>
        <w:t>日历天</w:t>
      </w:r>
      <w:r>
        <w:rPr>
          <w:rFonts w:hint="eastAsia" w:asciiTheme="minorEastAsia" w:hAnsiTheme="minorEastAsia" w:eastAsiaTheme="minorEastAsia" w:cstheme="minorEastAsia"/>
          <w:color w:val="000000"/>
          <w:kern w:val="0"/>
          <w:sz w:val="24"/>
          <w:szCs w:val="24"/>
          <w:lang w:eastAsia="zh-CN" w:bidi="ar"/>
        </w:rPr>
        <w:t>，</w:t>
      </w:r>
      <w:r>
        <w:rPr>
          <w:rFonts w:hint="eastAsia" w:asciiTheme="minorEastAsia" w:hAnsiTheme="minorEastAsia" w:eastAsiaTheme="minorEastAsia" w:cstheme="minorEastAsia"/>
          <w:color w:val="000000"/>
          <w:kern w:val="0"/>
          <w:sz w:val="24"/>
          <w:szCs w:val="24"/>
          <w:lang w:bidi="ar"/>
        </w:rPr>
        <w:t>项目管理服务期至本项目竣工验收合格且决算审计完成。</w:t>
      </w:r>
    </w:p>
    <w:p w14:paraId="436F4250">
      <w:pPr>
        <w:widowControl/>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 xml:space="preserve">二、 质量标准：符合国家质量验收标准 </w:t>
      </w:r>
    </w:p>
    <w:p w14:paraId="3E0B2A44">
      <w:pPr>
        <w:autoSpaceDE w:val="0"/>
        <w:autoSpaceDN w:val="0"/>
        <w:adjustRightInd w:val="0"/>
        <w:spacing w:line="360" w:lineRule="auto"/>
        <w:jc w:val="left"/>
        <w:rPr>
          <w:rFonts w:hint="eastAsia" w:asciiTheme="minorEastAsia" w:hAnsiTheme="minorEastAsia" w:eastAsiaTheme="minorEastAsia" w:cstheme="minorEastAsia"/>
          <w:color w:val="000000"/>
          <w:kern w:val="0"/>
          <w:sz w:val="24"/>
          <w:szCs w:val="24"/>
          <w:lang w:bidi="ar"/>
        </w:rPr>
      </w:pPr>
      <w:r>
        <w:rPr>
          <w:rFonts w:hint="eastAsia" w:asciiTheme="minorEastAsia" w:hAnsiTheme="minorEastAsia" w:eastAsiaTheme="minorEastAsia" w:cstheme="minorEastAsia"/>
          <w:color w:val="000000"/>
          <w:kern w:val="0"/>
          <w:sz w:val="24"/>
          <w:szCs w:val="24"/>
          <w:lang w:bidi="ar"/>
        </w:rPr>
        <w:t xml:space="preserve">三、 </w:t>
      </w:r>
      <w:r>
        <w:rPr>
          <w:rFonts w:hint="eastAsia" w:asciiTheme="minorEastAsia" w:hAnsiTheme="minorEastAsia" w:eastAsiaTheme="minorEastAsia" w:cstheme="minorEastAsia"/>
          <w:color w:val="000000"/>
          <w:sz w:val="24"/>
          <w:szCs w:val="24"/>
          <w:lang w:val="zh-CN"/>
        </w:rPr>
        <w:t>验收标准：</w:t>
      </w:r>
      <w:r>
        <w:rPr>
          <w:rFonts w:hint="eastAsia" w:asciiTheme="minorEastAsia" w:hAnsiTheme="minorEastAsia" w:eastAsiaTheme="minorEastAsia" w:cstheme="minorEastAsia"/>
          <w:sz w:val="24"/>
          <w:szCs w:val="24"/>
        </w:rPr>
        <w:t>乙方提交的服务满足</w:t>
      </w:r>
      <w:r>
        <w:rPr>
          <w:rFonts w:hint="eastAsia" w:asciiTheme="minorEastAsia" w:hAnsiTheme="minorEastAsia" w:eastAsiaTheme="minorEastAsia" w:cstheme="minorEastAsia"/>
          <w:sz w:val="24"/>
          <w:szCs w:val="24"/>
          <w:lang w:val="en-US" w:eastAsia="zh-CN"/>
        </w:rPr>
        <w:t>招标</w:t>
      </w:r>
      <w:r>
        <w:rPr>
          <w:rFonts w:hint="eastAsia" w:asciiTheme="minorEastAsia" w:hAnsiTheme="minorEastAsia" w:eastAsiaTheme="minorEastAsia" w:cstheme="minorEastAsia"/>
          <w:sz w:val="24"/>
          <w:szCs w:val="24"/>
        </w:rPr>
        <w:t>文件要求和行业标准并经甲方确认后，即视为验收合格，如乙方提供的服务不符合</w:t>
      </w:r>
      <w:r>
        <w:rPr>
          <w:rFonts w:hint="eastAsia" w:asciiTheme="minorEastAsia" w:hAnsiTheme="minorEastAsia" w:eastAsiaTheme="minorEastAsia" w:cstheme="minorEastAsia"/>
          <w:sz w:val="24"/>
          <w:szCs w:val="24"/>
          <w:lang w:val="en-US" w:eastAsia="zh-CN"/>
        </w:rPr>
        <w:t>招标</w:t>
      </w:r>
      <w:r>
        <w:rPr>
          <w:rFonts w:hint="eastAsia" w:asciiTheme="minorEastAsia" w:hAnsiTheme="minorEastAsia" w:eastAsiaTheme="minorEastAsia" w:cstheme="minorEastAsia"/>
          <w:sz w:val="24"/>
          <w:szCs w:val="24"/>
        </w:rPr>
        <w:t>文件要求和行业标准规定的，甲方有权拒收</w:t>
      </w:r>
      <w:r>
        <w:rPr>
          <w:rFonts w:hint="eastAsia" w:asciiTheme="minorEastAsia" w:hAnsiTheme="minorEastAsia" w:eastAsiaTheme="minorEastAsia" w:cstheme="minorEastAsia"/>
          <w:color w:val="000000"/>
          <w:sz w:val="24"/>
          <w:szCs w:val="24"/>
          <w:lang w:val="zh-CN"/>
        </w:rPr>
        <w:t>。</w:t>
      </w:r>
    </w:p>
    <w:p w14:paraId="743713AD">
      <w:pPr>
        <w:widowControl/>
        <w:spacing w:line="360"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bidi="ar"/>
        </w:rPr>
        <w:t xml:space="preserve">四、 双方责任 </w:t>
      </w:r>
    </w:p>
    <w:p w14:paraId="2E676A73">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1、甲方（建设单位/委托方）核心职责</w:t>
      </w:r>
    </w:p>
    <w:p w14:paraId="095E64E0">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1.1 项目决策与前期管理</w:t>
      </w:r>
    </w:p>
    <w:p w14:paraId="290780E9">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提出项目功能需求、建设标准、投资控制目标等审批。</w:t>
      </w:r>
    </w:p>
    <w:p w14:paraId="1352BD14">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落实项目资金筹措、拨付与结算，按进度支付代建费及工程款。</w:t>
      </w:r>
    </w:p>
    <w:p w14:paraId="35E4A0A1">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组织代建单位招标、签订代建合同，明确双方权责。</w:t>
      </w:r>
    </w:p>
    <w:p w14:paraId="1F250407">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1.2监督与协调</w:t>
      </w:r>
    </w:p>
    <w:p w14:paraId="7CA14A2E">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监督代建单位履职，核查投资、质量、进度、安全执行情况。</w:t>
      </w:r>
    </w:p>
    <w:p w14:paraId="03895111">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协调征地拆迁、外部关系、审批手续等外部事项。</w:t>
      </w:r>
    </w:p>
    <w:p w14:paraId="6D00F42D">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参与竣工验收、竣工决算审核、资产移交与产权登记。</w:t>
      </w:r>
    </w:p>
    <w:p w14:paraId="7FF3F63B">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1.3合同与合规管理</w:t>
      </w:r>
    </w:p>
    <w:p w14:paraId="497BBD0F">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审核重大设计变更、概算调整，按程序报批。</w:t>
      </w:r>
    </w:p>
    <w:p w14:paraId="2D567BAC">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监督参建单位招标、合同履行，确保合规合法。</w:t>
      </w:r>
    </w:p>
    <w:p w14:paraId="70C095BE">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2、乙方（代建单位）核心职责</w:t>
      </w:r>
    </w:p>
    <w:p w14:paraId="23E2664E">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2.1全过程组织实施</w:t>
      </w:r>
    </w:p>
    <w:p w14:paraId="20630462">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组织勘察、设计、监理、施工、设备采购等招标与合同管理。</w:t>
      </w:r>
    </w:p>
    <w:p w14:paraId="5E18B3B4">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办理规划、施工许可、消防、人防等报建手续。</w:t>
      </w:r>
    </w:p>
    <w:p w14:paraId="5C7D5BDD">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负责项目投资、质量、工期、安全、文明施工全过程管控。</w:t>
      </w:r>
    </w:p>
    <w:p w14:paraId="7C168A37">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2.2过程管理与协调</w:t>
      </w:r>
    </w:p>
    <w:p w14:paraId="7DEF459B">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编制施工图预算、年度投资计划，按程序报批。</w:t>
      </w:r>
    </w:p>
    <w:p w14:paraId="107A072F">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协调参建单位，解决施工技术、进度、质量、安全问题。</w:t>
      </w:r>
    </w:p>
    <w:p w14:paraId="265BE045">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组织中间验收、竣工验收，办理竣工结算、决算与资料移交。</w:t>
      </w:r>
    </w:p>
    <w:p w14:paraId="4BB53480">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2.3履约与服务</w:t>
      </w:r>
    </w:p>
    <w:p w14:paraId="16619CF6">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严格执行概算，控制投资不超批复概算。</w:t>
      </w:r>
    </w:p>
    <w:p w14:paraId="0F081090">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负责缺陷责任期维保、档案整理归档。</w:t>
      </w:r>
    </w:p>
    <w:p w14:paraId="46E051F1">
      <w:pPr>
        <w:widowControl/>
        <w:spacing w:line="360" w:lineRule="auto"/>
        <w:jc w:val="left"/>
        <w:rPr>
          <w:rFonts w:hint="eastAsia" w:asciiTheme="minorEastAsia" w:hAnsiTheme="minorEastAsia" w:eastAsiaTheme="minorEastAsia" w:cstheme="minorEastAsia"/>
          <w:b w:val="0"/>
          <w:bCs w:val="0"/>
          <w:sz w:val="24"/>
          <w:szCs w:val="24"/>
          <w:highlight w:val="none"/>
          <w:lang w:val="en-US" w:bidi="zh-CN"/>
        </w:rPr>
      </w:pPr>
      <w:r>
        <w:rPr>
          <w:rFonts w:hint="eastAsia" w:asciiTheme="minorEastAsia" w:hAnsiTheme="minorEastAsia" w:eastAsiaTheme="minorEastAsia" w:cstheme="minorEastAsia"/>
          <w:b w:val="0"/>
          <w:bCs w:val="0"/>
          <w:sz w:val="24"/>
          <w:szCs w:val="24"/>
          <w:highlight w:val="none"/>
          <w:lang w:val="en-US" w:bidi="zh-CN"/>
        </w:rPr>
        <w:t>按合同约定完成代建任务，接受甲方及主管部门监督。</w:t>
      </w:r>
    </w:p>
    <w:p w14:paraId="42CE4274">
      <w:pPr>
        <w:widowControl/>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五</w:t>
      </w:r>
      <w:r>
        <w:rPr>
          <w:rFonts w:hint="eastAsia" w:asciiTheme="minorEastAsia" w:hAnsiTheme="minorEastAsia" w:eastAsiaTheme="minorEastAsia" w:cstheme="minorEastAsia"/>
          <w:color w:val="000000"/>
          <w:kern w:val="0"/>
          <w:sz w:val="24"/>
          <w:szCs w:val="24"/>
          <w:lang w:bidi="ar"/>
        </w:rPr>
        <w:t xml:space="preserve">、 工程款支付，结算方式 </w:t>
      </w:r>
    </w:p>
    <w:p w14:paraId="3100C8F7">
      <w:pPr>
        <w:autoSpaceDE w:val="0"/>
        <w:autoSpaceDN w:val="0"/>
        <w:adjustRightInd w:val="0"/>
        <w:spacing w:line="360" w:lineRule="auto"/>
        <w:ind w:firstLine="420"/>
        <w:jc w:val="left"/>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本合同项下所有款项均以人民币支付：</w:t>
      </w:r>
    </w:p>
    <w:p w14:paraId="49E84B68">
      <w:pPr>
        <w:spacing w:line="360" w:lineRule="auto"/>
        <w:ind w:firstLine="480" w:firstLineChars="200"/>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第一次付款：工作量完成</w:t>
      </w:r>
      <w:r>
        <w:rPr>
          <w:rFonts w:hint="eastAsia" w:asciiTheme="minorEastAsia" w:hAnsiTheme="minorEastAsia" w:eastAsiaTheme="minorEastAsia" w:cstheme="minorEastAsia"/>
          <w:sz w:val="24"/>
          <w:szCs w:val="24"/>
          <w:highlight w:val="none"/>
          <w:lang w:val="en-US" w:eastAsia="zh-CN"/>
        </w:rPr>
        <w:t>50</w:t>
      </w:r>
      <w:r>
        <w:rPr>
          <w:rFonts w:hint="eastAsia" w:asciiTheme="minorEastAsia" w:hAnsiTheme="minorEastAsia" w:eastAsiaTheme="minorEastAsia" w:cstheme="minorEastAsia"/>
          <w:sz w:val="24"/>
          <w:szCs w:val="24"/>
          <w:highlight w:val="none"/>
          <w:lang w:val="zh-CN"/>
        </w:rPr>
        <w:t>%后支付签约酬金的 30%；</w:t>
      </w:r>
    </w:p>
    <w:p w14:paraId="6754D328">
      <w:pPr>
        <w:spacing w:line="360" w:lineRule="auto"/>
        <w:ind w:firstLine="480" w:firstLineChars="200"/>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第二次付款：合同工程完工验收合格，支付至签约酬金的</w:t>
      </w:r>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lang w:val="zh-CN"/>
        </w:rPr>
        <w:t>0%；</w:t>
      </w:r>
    </w:p>
    <w:p w14:paraId="77853E29">
      <w:pPr>
        <w:autoSpaceDE w:val="0"/>
        <w:autoSpaceDN w:val="0"/>
        <w:adjustRightInd w:val="0"/>
        <w:spacing w:line="360" w:lineRule="auto"/>
        <w:ind w:firstLine="420"/>
        <w:jc w:val="left"/>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第三次付款：竣工验收合格及审计完成并批复后，支付至审定价格的97%；</w:t>
      </w:r>
    </w:p>
    <w:p w14:paraId="6159194F">
      <w:pPr>
        <w:autoSpaceDE w:val="0"/>
        <w:autoSpaceDN w:val="0"/>
        <w:adjustRightInd w:val="0"/>
        <w:spacing w:line="360" w:lineRule="auto"/>
        <w:ind w:firstLine="420"/>
        <w:jc w:val="left"/>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余款：缺陷责任期（12个月）结束后支付余款（无息）。</w:t>
      </w:r>
    </w:p>
    <w:p w14:paraId="6E7F6B49">
      <w:pPr>
        <w:autoSpaceDE w:val="0"/>
        <w:autoSpaceDN w:val="0"/>
        <w:adjustRightInd w:val="0"/>
        <w:spacing w:line="360" w:lineRule="auto"/>
        <w:ind w:firstLine="420"/>
        <w:jc w:val="left"/>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注：合同价款实际支付金额不超概算金额，上述付款节点，需要视财政拨款情况。每次付款前，中标人需根据发包人要求开具符合甲方要求的发票等票据；否则发包人有权拒绝付款。</w:t>
      </w:r>
    </w:p>
    <w:p w14:paraId="1277CA56">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六</w:t>
      </w:r>
      <w:r>
        <w:rPr>
          <w:rFonts w:hint="eastAsia" w:asciiTheme="minorEastAsia" w:hAnsiTheme="minorEastAsia" w:eastAsiaTheme="minorEastAsia" w:cstheme="minorEastAsia"/>
          <w:sz w:val="24"/>
          <w:szCs w:val="24"/>
          <w:highlight w:val="none"/>
          <w:lang w:val="zh-CN"/>
        </w:rPr>
        <w:t>、 代建单位投资控制职责及奖惩机制</w:t>
      </w:r>
    </w:p>
    <w:p w14:paraId="204C3AF3">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val="zh-CN"/>
        </w:rPr>
        <w:t>投资控制职责</w:t>
      </w:r>
    </w:p>
    <w:p w14:paraId="4A62A84B">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代建单位在代建期限内代行建设单位相关职责，在投资控制方面应履行以下职责：</w:t>
      </w:r>
    </w:p>
    <w:p w14:paraId="20072359">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1.1</w:t>
      </w:r>
      <w:r>
        <w:rPr>
          <w:rFonts w:hint="eastAsia" w:asciiTheme="minorEastAsia" w:hAnsiTheme="minorEastAsia" w:eastAsiaTheme="minorEastAsia" w:cstheme="minorEastAsia"/>
          <w:sz w:val="24"/>
          <w:szCs w:val="24"/>
          <w:highlight w:val="none"/>
          <w:lang w:val="zh-CN"/>
        </w:rPr>
        <w:t xml:space="preserve"> 前期阶段投资控制</w:t>
      </w:r>
    </w:p>
    <w:p w14:paraId="1193E5D0">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1.2</w:t>
      </w:r>
      <w:r>
        <w:rPr>
          <w:rFonts w:hint="eastAsia" w:asciiTheme="minorEastAsia" w:hAnsiTheme="minorEastAsia" w:eastAsiaTheme="minorEastAsia" w:cstheme="minorEastAsia"/>
          <w:sz w:val="24"/>
          <w:szCs w:val="24"/>
          <w:highlight w:val="none"/>
          <w:lang w:val="zh-CN"/>
        </w:rPr>
        <w:t xml:space="preserve"> 依据批准的可行性研究报告，组织编报初步设计及概算、施工图设计及预算；</w:t>
      </w:r>
    </w:p>
    <w:p w14:paraId="6E0AB19D">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1.3</w:t>
      </w:r>
      <w:r>
        <w:rPr>
          <w:rFonts w:hint="eastAsia" w:asciiTheme="minorEastAsia" w:hAnsiTheme="minorEastAsia" w:eastAsiaTheme="minorEastAsia" w:cstheme="minorEastAsia"/>
          <w:sz w:val="24"/>
          <w:szCs w:val="24"/>
          <w:highlight w:val="none"/>
          <w:lang w:val="zh-CN"/>
        </w:rPr>
        <w:t>组织开展项目勘察、设计、监理、造价咨询等相关工程服务和施工以及设备材料等的采购招标，负责工程合同的洽谈与签订；</w:t>
      </w:r>
    </w:p>
    <w:p w14:paraId="71F83B57">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1.4</w:t>
      </w:r>
      <w:r>
        <w:rPr>
          <w:rFonts w:hint="eastAsia" w:asciiTheme="minorEastAsia" w:hAnsiTheme="minorEastAsia" w:eastAsiaTheme="minorEastAsia" w:cstheme="minorEastAsia"/>
          <w:sz w:val="24"/>
          <w:szCs w:val="24"/>
          <w:highlight w:val="none"/>
          <w:lang w:val="zh-CN"/>
        </w:rPr>
        <w:t>审核设计概算和施工图预算，确保其不超过可行性研究批复的估算。</w:t>
      </w:r>
    </w:p>
    <w:p w14:paraId="58E9AD33">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lang w:val="zh-CN"/>
        </w:rPr>
        <w:t>实施阶段投资控制</w:t>
      </w:r>
    </w:p>
    <w:p w14:paraId="159874C9">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2.1</w:t>
      </w:r>
      <w:r>
        <w:rPr>
          <w:rFonts w:hint="eastAsia" w:asciiTheme="minorEastAsia" w:hAnsiTheme="minorEastAsia" w:eastAsiaTheme="minorEastAsia" w:cstheme="minorEastAsia"/>
          <w:sz w:val="24"/>
          <w:szCs w:val="24"/>
          <w:highlight w:val="none"/>
          <w:lang w:val="zh-CN"/>
        </w:rPr>
        <w:t xml:space="preserve"> 编制项目年度投资计划和资金使用计划，按合同约定和程序向建设单位申请支付项目建设资金，并对资金使用情况进行管理和监督；</w:t>
      </w:r>
    </w:p>
    <w:p w14:paraId="23BB3188">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2.2</w:t>
      </w:r>
      <w:r>
        <w:rPr>
          <w:rFonts w:hint="eastAsia" w:asciiTheme="minorEastAsia" w:hAnsiTheme="minorEastAsia" w:eastAsiaTheme="minorEastAsia" w:cstheme="minorEastAsia"/>
          <w:sz w:val="24"/>
          <w:szCs w:val="24"/>
          <w:highlight w:val="none"/>
          <w:lang w:val="zh-CN"/>
        </w:rPr>
        <w:t>建立项目概算、合同支付明细台账，包括工程费、工程建设其他费、预备费等概算总投资内的全部费用，确保整个建设项目费用不超过项目总概算费用；</w:t>
      </w:r>
    </w:p>
    <w:p w14:paraId="2DB30969">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2.3</w:t>
      </w:r>
      <w:r>
        <w:rPr>
          <w:rFonts w:hint="eastAsia" w:asciiTheme="minorEastAsia" w:hAnsiTheme="minorEastAsia" w:eastAsiaTheme="minorEastAsia" w:cstheme="minorEastAsia"/>
          <w:sz w:val="24"/>
          <w:szCs w:val="24"/>
          <w:highlight w:val="none"/>
          <w:lang w:val="zh-CN"/>
        </w:rPr>
        <w:t>严格执行设计变更审批程序，因设计变更引起的费用增减须按规定报批，未经批准不得擅自增加投资；</w:t>
      </w:r>
    </w:p>
    <w:p w14:paraId="04ECC123">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2.4</w:t>
      </w:r>
      <w:r>
        <w:rPr>
          <w:rFonts w:hint="eastAsia" w:asciiTheme="minorEastAsia" w:hAnsiTheme="minorEastAsia" w:eastAsiaTheme="minorEastAsia" w:cstheme="minorEastAsia"/>
          <w:sz w:val="24"/>
          <w:szCs w:val="24"/>
          <w:highlight w:val="none"/>
          <w:lang w:val="zh-CN"/>
        </w:rPr>
        <w:t>按月向建设单位和相关主管部门报送工程进度及资金使用情况；</w:t>
      </w:r>
    </w:p>
    <w:p w14:paraId="1C291BBF">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2.5</w:t>
      </w:r>
      <w:r>
        <w:rPr>
          <w:rFonts w:hint="eastAsia" w:asciiTheme="minorEastAsia" w:hAnsiTheme="minorEastAsia" w:eastAsiaTheme="minorEastAsia" w:cstheme="minorEastAsia"/>
          <w:sz w:val="24"/>
          <w:szCs w:val="24"/>
          <w:highlight w:val="none"/>
          <w:lang w:val="zh-CN"/>
        </w:rPr>
        <w:t xml:space="preserve"> 建立有效的成本控制体系，制定项目成本预算，明确各方之间的成本分配和成本控制方法。</w:t>
      </w:r>
    </w:p>
    <w:p w14:paraId="370FA367">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lang w:val="zh-CN"/>
        </w:rPr>
        <w:t>竣工阶段投资控制</w:t>
      </w:r>
    </w:p>
    <w:p w14:paraId="6641B8FC">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3.1</w:t>
      </w:r>
      <w:r>
        <w:rPr>
          <w:rFonts w:hint="eastAsia" w:asciiTheme="minorEastAsia" w:hAnsiTheme="minorEastAsia" w:eastAsiaTheme="minorEastAsia" w:cstheme="minorEastAsia"/>
          <w:sz w:val="24"/>
          <w:szCs w:val="24"/>
          <w:highlight w:val="none"/>
          <w:lang w:val="zh-CN"/>
        </w:rPr>
        <w:t xml:space="preserve"> 组织工程验收，办理竣工验收备案，向建设单位办理项目实体移交手续；</w:t>
      </w:r>
    </w:p>
    <w:p w14:paraId="013E2782">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3.2</w:t>
      </w:r>
      <w:r>
        <w:rPr>
          <w:rFonts w:hint="eastAsia" w:asciiTheme="minorEastAsia" w:hAnsiTheme="minorEastAsia" w:eastAsiaTheme="minorEastAsia" w:cstheme="minorEastAsia"/>
          <w:sz w:val="24"/>
          <w:szCs w:val="24"/>
          <w:highlight w:val="none"/>
          <w:lang w:val="zh-CN"/>
        </w:rPr>
        <w:t xml:space="preserve"> 办理工程结算，协助建设单位办理竣工财务决算；</w:t>
      </w:r>
    </w:p>
    <w:p w14:paraId="6C92C288">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3.3</w:t>
      </w:r>
      <w:r>
        <w:rPr>
          <w:rFonts w:hint="eastAsia" w:asciiTheme="minorEastAsia" w:hAnsiTheme="minorEastAsia" w:eastAsiaTheme="minorEastAsia" w:cstheme="minorEastAsia"/>
          <w:sz w:val="24"/>
          <w:szCs w:val="24"/>
          <w:highlight w:val="none"/>
          <w:lang w:val="zh-CN"/>
        </w:rPr>
        <w:t xml:space="preserve"> 整理汇编并移交有关项目资料。</w:t>
      </w:r>
    </w:p>
    <w:p w14:paraId="6969FE37">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lang w:val="zh-CN"/>
        </w:rPr>
        <w:t xml:space="preserve"> 禁止性义务</w:t>
      </w:r>
    </w:p>
    <w:p w14:paraId="47D72A8D">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4.1</w:t>
      </w:r>
      <w:r>
        <w:rPr>
          <w:rFonts w:hint="eastAsia" w:asciiTheme="minorEastAsia" w:hAnsiTheme="minorEastAsia" w:eastAsiaTheme="minorEastAsia" w:cstheme="minorEastAsia"/>
          <w:sz w:val="24"/>
          <w:szCs w:val="24"/>
          <w:highlight w:val="none"/>
          <w:lang w:val="zh-CN"/>
        </w:rPr>
        <w:t>不得擅自调整建设内容、建设规模、建设标准及代建管理目标；</w:t>
      </w:r>
    </w:p>
    <w:p w14:paraId="2D9986E0">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4.2</w:t>
      </w:r>
      <w:r>
        <w:rPr>
          <w:rFonts w:hint="eastAsia" w:asciiTheme="minorEastAsia" w:hAnsiTheme="minorEastAsia" w:eastAsiaTheme="minorEastAsia" w:cstheme="minorEastAsia"/>
          <w:sz w:val="24"/>
          <w:szCs w:val="24"/>
          <w:highlight w:val="none"/>
          <w:lang w:val="zh-CN"/>
        </w:rPr>
        <w:t xml:space="preserve"> 不得与勘察、设计、监理、造价咨询、施工、设备材料供应等单位串通，损害建设单位利益；</w:t>
      </w:r>
    </w:p>
    <w:p w14:paraId="79CE0268">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4.3</w:t>
      </w:r>
      <w:r>
        <w:rPr>
          <w:rFonts w:hint="eastAsia" w:asciiTheme="minorEastAsia" w:hAnsiTheme="minorEastAsia" w:eastAsiaTheme="minorEastAsia" w:cstheme="minorEastAsia"/>
          <w:sz w:val="24"/>
          <w:szCs w:val="24"/>
          <w:highlight w:val="none"/>
          <w:lang w:val="zh-CN"/>
        </w:rPr>
        <w:t xml:space="preserve"> 不得在所代建的项目中承担勘察、设计、监理、造价咨询、施工、设备材料供应等工作，或与以上单位有隶属关系及其他直接利益关系。</w:t>
      </w:r>
    </w:p>
    <w:p w14:paraId="78E4273A">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lang w:val="zh-CN"/>
        </w:rPr>
        <w:t>奖惩机制</w:t>
      </w:r>
    </w:p>
    <w:p w14:paraId="4456AAE2">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4.1</w:t>
      </w:r>
      <w:r>
        <w:rPr>
          <w:rFonts w:hint="eastAsia" w:asciiTheme="minorEastAsia" w:hAnsiTheme="minorEastAsia" w:eastAsiaTheme="minorEastAsia" w:cstheme="minorEastAsia"/>
          <w:sz w:val="24"/>
          <w:szCs w:val="24"/>
          <w:highlight w:val="none"/>
          <w:lang w:val="zh-CN"/>
        </w:rPr>
        <w:t xml:space="preserve"> 奖励机制</w:t>
      </w:r>
    </w:p>
    <w:p w14:paraId="042E6D8F">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1）节余奖励：项目竣工财务决算审核批准后，决算投资比经批准的概算投资有节余的，应当按照节余资金5%—10%的比例对代建单位实行奖励，具体比例在代建合同中明确约定，奖励开支计入建设成本。建议该项目可设置节余奖励比例为8%—10%。</w:t>
      </w:r>
    </w:p>
    <w:p w14:paraId="4E2330C8">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（2）质量进度奖励：代建单位按时完成项目代建任务、工程质量达到优良标准、项目投资控制在批准概算总投资范围内的，可获得不超过代建管理费10%的奖励资金。</w:t>
      </w:r>
    </w:p>
    <w:p w14:paraId="68753834">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（3）超额完成奖励：在满足质量、安全、工期和投资控制目标的前提下，如代建单位在项目管理方面有突出表现（如获得省级以上优质工程奖等），可另行设置专项奖励。</w:t>
      </w:r>
    </w:p>
    <w:p w14:paraId="4E799D5C">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4.2</w:t>
      </w:r>
      <w:r>
        <w:rPr>
          <w:rFonts w:hint="eastAsia" w:asciiTheme="minorEastAsia" w:hAnsiTheme="minorEastAsia" w:eastAsiaTheme="minorEastAsia" w:cstheme="minorEastAsia"/>
          <w:sz w:val="24"/>
          <w:szCs w:val="24"/>
          <w:highlight w:val="none"/>
          <w:lang w:val="zh-CN"/>
        </w:rPr>
        <w:t xml:space="preserve"> 惩罚机制</w:t>
      </w:r>
    </w:p>
    <w:p w14:paraId="6A5BEF6B">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（1）超概处罚：因代建单位自身原因造成超概的，将面临从履约担保中扣款赔偿直至行政处罚的严厉约束。建议设置如下处罚措施：</w:t>
      </w:r>
    </w:p>
    <w:p w14:paraId="4CA903F1">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超概比例在3%以内的，扣减代建管理费的20%；</w:t>
      </w:r>
    </w:p>
    <w:p w14:paraId="48DE5DB9">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超概比例在3%—5%之间的，扣减代建管理费的50%；</w:t>
      </w:r>
    </w:p>
    <w:p w14:paraId="3FA8C3AF">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超概比例超过5%的，扣减全部代建管理费，并按超概金额的一定比例（如5%—10%）从履约担保中扣除赔偿金。</w:t>
      </w:r>
    </w:p>
    <w:p w14:paraId="705180EE">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（2）质量安全事故处罚：如发生一般及以上质量安全事故，扣减代建管理费的50%—100%，并依法追究相关责任。</w:t>
      </w:r>
    </w:p>
    <w:p w14:paraId="7F7D92BC">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（3）工期延误处罚：因代建单位原因造成工期延误的，按日扣减代建管理费，每日扣减金额为代建管理费总额的万分之一至万分之五。</w:t>
      </w:r>
    </w:p>
    <w:p w14:paraId="7EFE0021">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（4）其他处罚情形：代建单位未完成代建任务（如投资、质量、工期等主要控制目标未达成的），应当扣减代建管理费。代建单位存在违法违规行为的，依法追究法律责任。</w:t>
      </w:r>
    </w:p>
    <w:p w14:paraId="6FA51456">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（5）履约担保扣罚：代建单位应在签订代建合同前提交履约担保，履约担保金额建议为代建管理费的10%—20%。履约担保可用于扣罚赔偿。</w:t>
      </w:r>
    </w:p>
    <w:p w14:paraId="37771D7A">
      <w:pP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en-US" w:eastAsia="zh-CN"/>
        </w:rPr>
        <w:t>七</w:t>
      </w:r>
      <w:r>
        <w:rPr>
          <w:rFonts w:hint="eastAsia" w:asciiTheme="minorEastAsia" w:hAnsiTheme="minorEastAsia" w:eastAsiaTheme="minorEastAsia" w:cstheme="minorEastAsia"/>
          <w:sz w:val="24"/>
          <w:szCs w:val="24"/>
          <w:highlight w:val="none"/>
          <w:lang w:val="zh-CN"/>
        </w:rPr>
        <w:t>、甲方违约责任</w:t>
      </w:r>
    </w:p>
    <w:p w14:paraId="5DF8FD5A">
      <w:pPr>
        <w:widowControl/>
        <w:adjustRightInd w:val="0"/>
        <w:spacing w:line="360" w:lineRule="auto"/>
        <w:ind w:firstLine="420"/>
        <w:jc w:val="left"/>
        <w:rPr>
          <w:rFonts w:hint="eastAsia" w:asciiTheme="minorEastAsia" w:hAnsiTheme="minorEastAsia" w:eastAsiaTheme="minorEastAsia" w:cstheme="minorEastAsia"/>
          <w:color w:val="000000"/>
          <w:kern w:val="0"/>
          <w:sz w:val="24"/>
          <w:szCs w:val="24"/>
          <w:highlight w:val="none"/>
          <w:lang w:val="zh-CN"/>
        </w:rPr>
      </w:pPr>
      <w:r>
        <w:rPr>
          <w:rFonts w:hint="eastAsia" w:asciiTheme="minorEastAsia" w:hAnsiTheme="minorEastAsia" w:eastAsiaTheme="minorEastAsia" w:cstheme="minorEastAsia"/>
          <w:color w:val="000000"/>
          <w:kern w:val="0"/>
          <w:sz w:val="24"/>
          <w:szCs w:val="24"/>
          <w:highlight w:val="none"/>
          <w:lang w:val="zh-CN"/>
        </w:rPr>
        <w:t>１、甲方无正当理由拒收服务、拒付服务款的，甲方向乙方偿付合同总价的5%违约金。</w:t>
      </w:r>
    </w:p>
    <w:p w14:paraId="62A87FC5">
      <w:pPr>
        <w:widowControl/>
        <w:adjustRightInd w:val="0"/>
        <w:spacing w:line="360" w:lineRule="auto"/>
        <w:ind w:firstLine="420"/>
        <w:jc w:val="left"/>
        <w:rPr>
          <w:rFonts w:hint="eastAsia" w:asciiTheme="minorEastAsia" w:hAnsiTheme="minorEastAsia" w:eastAsiaTheme="minorEastAsia" w:cstheme="minorEastAsia"/>
          <w:color w:val="000000"/>
          <w:kern w:val="0"/>
          <w:sz w:val="24"/>
          <w:szCs w:val="24"/>
          <w:highlight w:val="none"/>
          <w:lang w:val="zh-CN"/>
        </w:rPr>
      </w:pPr>
      <w:r>
        <w:rPr>
          <w:rFonts w:hint="eastAsia" w:asciiTheme="minorEastAsia" w:hAnsiTheme="minorEastAsia" w:eastAsiaTheme="minorEastAsia" w:cstheme="minorEastAsia"/>
          <w:color w:val="000000"/>
          <w:kern w:val="0"/>
          <w:sz w:val="24"/>
          <w:szCs w:val="24"/>
          <w:highlight w:val="none"/>
          <w:lang w:val="zh-CN"/>
        </w:rPr>
        <w:t>２、甲方未按合同规定的期限向乙方支付服务款的，每逾期1天甲方向乙方偿付欠款总额的5‰滞纳金，但累计滞纳金总额不超过欠款总额的5% 。</w:t>
      </w:r>
    </w:p>
    <w:p w14:paraId="0325F463">
      <w:pPr>
        <w:widowControl/>
        <w:adjustRightInd w:val="0"/>
        <w:spacing w:line="360" w:lineRule="auto"/>
        <w:ind w:firstLine="420"/>
        <w:jc w:val="left"/>
        <w:rPr>
          <w:rFonts w:hint="eastAsia" w:asciiTheme="minorEastAsia" w:hAnsiTheme="minorEastAsia" w:eastAsiaTheme="minorEastAsia" w:cstheme="minorEastAsia"/>
          <w:color w:val="000000"/>
          <w:kern w:val="0"/>
          <w:sz w:val="24"/>
          <w:szCs w:val="24"/>
          <w:highlight w:val="none"/>
          <w:lang w:val="zh-CN"/>
        </w:rPr>
      </w:pPr>
      <w:r>
        <w:rPr>
          <w:rFonts w:hint="eastAsia" w:asciiTheme="minorEastAsia" w:hAnsiTheme="minorEastAsia" w:eastAsiaTheme="minorEastAsia" w:cstheme="minorEastAsia"/>
          <w:color w:val="000000"/>
          <w:kern w:val="0"/>
          <w:sz w:val="24"/>
          <w:szCs w:val="24"/>
          <w:highlight w:val="none"/>
          <w:lang w:val="zh-CN"/>
        </w:rPr>
        <w:t>３、如乙方不能交付服务的，乙方应向甲方支付合同总价5%的违约金。</w:t>
      </w:r>
    </w:p>
    <w:p w14:paraId="73D20D5D">
      <w:pPr>
        <w:widowControl/>
        <w:adjustRightInd w:val="0"/>
        <w:spacing w:line="360" w:lineRule="auto"/>
        <w:ind w:firstLine="420"/>
        <w:jc w:val="left"/>
        <w:rPr>
          <w:rFonts w:hint="eastAsia" w:asciiTheme="minorEastAsia" w:hAnsiTheme="minorEastAsia" w:eastAsiaTheme="minorEastAsia" w:cstheme="minorEastAsia"/>
          <w:color w:val="000000"/>
          <w:kern w:val="0"/>
          <w:sz w:val="24"/>
          <w:szCs w:val="24"/>
          <w:highlight w:val="none"/>
          <w:lang w:val="zh-CN"/>
        </w:rPr>
      </w:pPr>
      <w:r>
        <w:rPr>
          <w:rFonts w:hint="eastAsia" w:asciiTheme="minorEastAsia" w:hAnsiTheme="minorEastAsia" w:eastAsiaTheme="minorEastAsia" w:cstheme="minorEastAsia"/>
          <w:color w:val="000000"/>
          <w:kern w:val="0"/>
          <w:sz w:val="24"/>
          <w:szCs w:val="24"/>
          <w:highlight w:val="none"/>
          <w:lang w:val="zh-CN"/>
        </w:rPr>
        <w:t>４、乙方逾期交付的，每逾期1天，乙方向甲方偿付合同总额的5‰的滞纳金。如乙方逾期交付达10天，甲方有权解除合同，解除合同的通知自到达乙方时生效。</w:t>
      </w:r>
    </w:p>
    <w:p w14:paraId="1B0A9FF9">
      <w:pPr>
        <w:widowControl/>
        <w:adjustRightInd w:val="0"/>
        <w:spacing w:line="360" w:lineRule="auto"/>
        <w:ind w:firstLine="420"/>
        <w:jc w:val="left"/>
        <w:rPr>
          <w:rFonts w:hint="eastAsia" w:asciiTheme="minorEastAsia" w:hAnsiTheme="minorEastAsia" w:eastAsiaTheme="minorEastAsia" w:cstheme="minorEastAsia"/>
          <w:color w:val="000000"/>
          <w:kern w:val="0"/>
          <w:sz w:val="24"/>
          <w:szCs w:val="24"/>
          <w:highlight w:val="none"/>
          <w:lang w:val="zh-CN"/>
        </w:rPr>
      </w:pPr>
      <w:r>
        <w:rPr>
          <w:rFonts w:hint="eastAsia" w:asciiTheme="minorEastAsia" w:hAnsiTheme="minorEastAsia" w:eastAsiaTheme="minorEastAsia" w:cstheme="minorEastAsia"/>
          <w:color w:val="000000"/>
          <w:kern w:val="0"/>
          <w:sz w:val="24"/>
          <w:szCs w:val="24"/>
          <w:highlight w:val="none"/>
          <w:lang w:val="zh-CN"/>
        </w:rPr>
        <w:t>５、乙方所交付的服务不符合合同规定的，甲方有权拒收。甲方拒收的，乙方应向甲方支付合同总款5%的违约金。</w:t>
      </w:r>
    </w:p>
    <w:p w14:paraId="55A382DD">
      <w:pPr>
        <w:widowControl/>
        <w:adjustRightInd w:val="0"/>
        <w:spacing w:line="360" w:lineRule="auto"/>
        <w:ind w:firstLine="420"/>
        <w:jc w:val="left"/>
        <w:rPr>
          <w:rFonts w:hint="eastAsia" w:asciiTheme="minorEastAsia" w:hAnsiTheme="minorEastAsia" w:eastAsiaTheme="minorEastAsia" w:cstheme="minorEastAsia"/>
          <w:color w:val="000000"/>
          <w:kern w:val="0"/>
          <w:sz w:val="24"/>
          <w:szCs w:val="24"/>
          <w:lang w:val="zh-CN"/>
        </w:rPr>
      </w:pPr>
      <w:r>
        <w:rPr>
          <w:rFonts w:hint="eastAsia" w:asciiTheme="minorEastAsia" w:hAnsiTheme="minorEastAsia" w:eastAsiaTheme="minorEastAsia" w:cstheme="minorEastAsia"/>
          <w:color w:val="000000"/>
          <w:kern w:val="0"/>
          <w:sz w:val="24"/>
          <w:szCs w:val="24"/>
          <w:highlight w:val="none"/>
          <w:lang w:val="zh-CN"/>
        </w:rPr>
        <w:t>６、在乙方承诺的或国家规定的质</w:t>
      </w:r>
      <w:r>
        <w:rPr>
          <w:rFonts w:hint="eastAsia" w:asciiTheme="minorEastAsia" w:hAnsiTheme="minorEastAsia" w:eastAsiaTheme="minorEastAsia" w:cstheme="minorEastAsia"/>
          <w:color w:val="000000"/>
          <w:kern w:val="0"/>
          <w:sz w:val="24"/>
          <w:szCs w:val="24"/>
          <w:lang w:val="zh-CN"/>
        </w:rPr>
        <w:t>量保证期内（取两者中最长的期限），如经乙方两次整改仍不能达到合同约定的质量标准，乙方应退回全部合同价款，并按第3款处理，同时，乙方还须赔偿甲方因此遭受的损失。</w:t>
      </w:r>
    </w:p>
    <w:p w14:paraId="19574A6B">
      <w:pPr>
        <w:widowControl/>
        <w:adjustRightInd w:val="0"/>
        <w:spacing w:line="360" w:lineRule="auto"/>
        <w:ind w:firstLine="420"/>
        <w:jc w:val="left"/>
        <w:rPr>
          <w:rFonts w:hint="eastAsia" w:asciiTheme="minorEastAsia" w:hAnsiTheme="minorEastAsia" w:eastAsiaTheme="minorEastAsia" w:cstheme="minorEastAsia"/>
          <w:color w:val="000000"/>
          <w:kern w:val="0"/>
          <w:sz w:val="24"/>
          <w:szCs w:val="24"/>
          <w:lang w:val="zh-CN"/>
        </w:rPr>
      </w:pPr>
      <w:r>
        <w:rPr>
          <w:rFonts w:hint="eastAsia" w:asciiTheme="minorEastAsia" w:hAnsiTheme="minorEastAsia" w:eastAsiaTheme="minorEastAsia" w:cstheme="minorEastAsia"/>
          <w:color w:val="000000"/>
          <w:kern w:val="0"/>
          <w:sz w:val="24"/>
          <w:szCs w:val="24"/>
          <w:lang w:val="zh-CN"/>
        </w:rPr>
        <w:t>7、乙方未按本合同的规定和“服务承诺”提供伴随服务/售后服务的，应按合同总价款的5%向甲方承担违约责任。</w:t>
      </w:r>
    </w:p>
    <w:p w14:paraId="63EE2E35">
      <w:pPr>
        <w:widowControl/>
        <w:adjustRightInd w:val="0"/>
        <w:spacing w:line="360" w:lineRule="auto"/>
        <w:ind w:firstLine="420"/>
        <w:jc w:val="left"/>
        <w:rPr>
          <w:rFonts w:hint="eastAsia" w:asciiTheme="minorEastAsia" w:hAnsiTheme="minorEastAsia" w:eastAsiaTheme="minorEastAsia" w:cstheme="minorEastAsia"/>
          <w:color w:val="000000"/>
          <w:kern w:val="0"/>
          <w:sz w:val="24"/>
          <w:szCs w:val="24"/>
          <w:lang w:val="zh-CN"/>
        </w:rPr>
      </w:pPr>
      <w:r>
        <w:rPr>
          <w:rFonts w:hint="eastAsia" w:asciiTheme="minorEastAsia" w:hAnsiTheme="minorEastAsia" w:eastAsiaTheme="minorEastAsia" w:cstheme="minorEastAsia"/>
          <w:color w:val="000000"/>
          <w:kern w:val="0"/>
          <w:sz w:val="24"/>
          <w:szCs w:val="24"/>
          <w:lang w:val="zh-CN"/>
        </w:rPr>
        <w:t>8、乙方在承担上述4-7款一项或多项违约责任后，仍应继续履行合同规定的义务（甲方解除合同的除外）。甲方未能及时追究乙方的任何一项违约责任并不表明甲方放弃追究乙方该项或其他违约责任。</w:t>
      </w:r>
    </w:p>
    <w:p w14:paraId="5BBD69FF">
      <w:pPr>
        <w:widowControl/>
        <w:adjustRightInd w:val="0"/>
        <w:spacing w:line="360" w:lineRule="auto"/>
        <w:ind w:firstLine="420"/>
        <w:jc w:val="left"/>
        <w:rPr>
          <w:rFonts w:hint="eastAsia" w:asciiTheme="minorEastAsia" w:hAnsiTheme="minorEastAsia" w:eastAsiaTheme="minorEastAsia" w:cstheme="minorEastAsia"/>
          <w:bCs/>
          <w:color w:val="000000"/>
          <w:kern w:val="0"/>
          <w:sz w:val="24"/>
          <w:szCs w:val="24"/>
          <w:lang w:val="zh-CN"/>
        </w:rPr>
      </w:pPr>
      <w:r>
        <w:rPr>
          <w:rFonts w:hint="eastAsia" w:asciiTheme="minorEastAsia" w:hAnsiTheme="minorEastAsia" w:eastAsiaTheme="minorEastAsia" w:cstheme="minorEastAsia"/>
          <w:color w:val="000000"/>
          <w:kern w:val="0"/>
          <w:sz w:val="24"/>
          <w:szCs w:val="24"/>
          <w:lang w:val="zh-CN"/>
        </w:rPr>
        <w:t>9、乙方响应属虚假承诺，或经权威部门监测提供的服务不能满足竞争性磋商文件要求，或是由于乙方的过错造成合同无法继续履行的，应向甲方支付不少于合同总价30%赔偿金。</w:t>
      </w:r>
    </w:p>
    <w:p w14:paraId="345028E2">
      <w:pPr>
        <w:tabs>
          <w:tab w:val="left" w:pos="1559"/>
        </w:tabs>
        <w:spacing w:line="360" w:lineRule="auto"/>
        <w:jc w:val="left"/>
        <w:rPr>
          <w:rFonts w:hint="eastAsia" w:asciiTheme="minorEastAsia" w:hAnsiTheme="minorEastAsia" w:eastAsiaTheme="minorEastAsia" w:cstheme="minorEastAsia"/>
          <w:b w:val="0"/>
          <w:bCs w:val="0"/>
          <w:sz w:val="24"/>
          <w:szCs w:val="24"/>
          <w:highlight w:val="none"/>
          <w:lang w:val="zh-CN" w:bidi="zh-CN"/>
        </w:rPr>
      </w:pPr>
      <w:r>
        <w:rPr>
          <w:rFonts w:hint="eastAsia" w:asciiTheme="minorEastAsia" w:hAnsiTheme="minorEastAsia" w:eastAsiaTheme="minorEastAsia" w:cstheme="minorEastAsia"/>
          <w:b w:val="0"/>
          <w:bCs w:val="0"/>
          <w:sz w:val="24"/>
          <w:szCs w:val="24"/>
          <w:highlight w:val="none"/>
          <w:lang w:val="en-US" w:bidi="zh-CN"/>
        </w:rPr>
        <w:t>八、</w:t>
      </w:r>
      <w:r>
        <w:rPr>
          <w:rFonts w:hint="eastAsia" w:asciiTheme="minorEastAsia" w:hAnsiTheme="minorEastAsia" w:eastAsiaTheme="minorEastAsia" w:cstheme="minorEastAsia"/>
          <w:b w:val="0"/>
          <w:bCs w:val="0"/>
          <w:sz w:val="24"/>
          <w:szCs w:val="24"/>
          <w:highlight w:val="none"/>
          <w:lang w:val="zh-CN" w:bidi="zh-CN"/>
        </w:rPr>
        <w:t>其它约定</w:t>
      </w:r>
    </w:p>
    <w:p w14:paraId="0BC647B2">
      <w:pPr>
        <w:spacing w:line="360" w:lineRule="auto"/>
        <w:ind w:firstLine="480"/>
        <w:jc w:val="left"/>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t>1、本合同约定，甲方不再为乙方提供生产、生活和通讯设施，该项费用已包含在合同价款。</w:t>
      </w:r>
    </w:p>
    <w:p w14:paraId="0A984B5A">
      <w:pPr>
        <w:spacing w:line="360" w:lineRule="auto"/>
        <w:ind w:firstLine="480"/>
        <w:jc w:val="left"/>
        <w:rPr>
          <w:rFonts w:hint="eastAsia" w:asciiTheme="minorEastAsia" w:hAnsiTheme="minorEastAsia" w:eastAsiaTheme="minorEastAsia" w:cstheme="minorEastAsia"/>
          <w:sz w:val="24"/>
          <w:szCs w:val="24"/>
          <w:highlight w:val="none"/>
          <w:lang w:val="zh-CN" w:bidi="zh-CN"/>
        </w:rPr>
      </w:pPr>
      <w:r>
        <w:rPr>
          <w:rFonts w:hint="eastAsia" w:asciiTheme="minorEastAsia" w:hAnsiTheme="minorEastAsia" w:eastAsiaTheme="minorEastAsia" w:cstheme="minorEastAsia"/>
          <w:sz w:val="24"/>
          <w:szCs w:val="24"/>
          <w:highlight w:val="none"/>
          <w:lang w:val="zh-CN" w:bidi="zh-CN"/>
        </w:rPr>
        <w:t>2、由于不可抗力，致使合同无法履行时，双方应按有关法律规定及时协商处理。</w:t>
      </w:r>
    </w:p>
    <w:p w14:paraId="4351E4C2">
      <w:pPr>
        <w:spacing w:line="360" w:lineRule="auto"/>
        <w:jc w:val="left"/>
        <w:rPr>
          <w:rFonts w:hint="eastAsia" w:asciiTheme="minorEastAsia" w:hAnsiTheme="minorEastAsia" w:eastAsiaTheme="minorEastAsia" w:cstheme="minorEastAsia"/>
          <w:b w:val="0"/>
          <w:bCs/>
          <w:sz w:val="24"/>
          <w:szCs w:val="24"/>
          <w:lang w:val="zh-CN" w:bidi="zh-CN"/>
        </w:rPr>
      </w:pPr>
      <w:r>
        <w:rPr>
          <w:rFonts w:hint="eastAsia" w:asciiTheme="minorEastAsia" w:hAnsiTheme="minorEastAsia" w:eastAsiaTheme="minorEastAsia" w:cstheme="minorEastAsia"/>
          <w:b w:val="0"/>
          <w:bCs/>
          <w:sz w:val="24"/>
          <w:szCs w:val="24"/>
          <w:lang w:val="en-US" w:bidi="zh-CN"/>
        </w:rPr>
        <w:t>九、</w:t>
      </w:r>
      <w:r>
        <w:rPr>
          <w:rFonts w:hint="eastAsia" w:asciiTheme="minorEastAsia" w:hAnsiTheme="minorEastAsia" w:eastAsiaTheme="minorEastAsia" w:cstheme="minorEastAsia"/>
          <w:b w:val="0"/>
          <w:bCs/>
          <w:sz w:val="24"/>
          <w:szCs w:val="24"/>
          <w:lang w:val="zh-CN" w:bidi="zh-CN"/>
        </w:rPr>
        <w:t xml:space="preserve"> 争议解决</w:t>
      </w:r>
    </w:p>
    <w:p w14:paraId="44046BB3">
      <w:pPr>
        <w:spacing w:line="360" w:lineRule="auto"/>
        <w:ind w:firstLine="480"/>
        <w:jc w:val="left"/>
        <w:rPr>
          <w:rFonts w:hint="eastAsia" w:asciiTheme="minorEastAsia" w:hAnsiTheme="minorEastAsia" w:eastAsiaTheme="minorEastAsia" w:cstheme="minorEastAsia"/>
          <w:sz w:val="24"/>
          <w:szCs w:val="24"/>
          <w:lang w:val="zh-CN" w:bidi="zh-CN"/>
        </w:rPr>
      </w:pPr>
      <w:r>
        <w:rPr>
          <w:rFonts w:hint="eastAsia" w:asciiTheme="minorEastAsia" w:hAnsiTheme="minorEastAsia" w:eastAsiaTheme="minorEastAsia" w:cstheme="minorEastAsia"/>
          <w:sz w:val="24"/>
          <w:szCs w:val="24"/>
          <w:lang w:val="zh-CN" w:bidi="zh-CN"/>
        </w:rPr>
        <w:t>因合同执行过程中双方发生纠纷，可由双方协商解决或由双方主管部门调解，若达不成协议，任何一方均可向甲方所在地法院提出诉讼。</w:t>
      </w:r>
    </w:p>
    <w:p w14:paraId="4934C12F">
      <w:pPr>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bidi="zh-CN"/>
        </w:rPr>
        <w:t>十、</w:t>
      </w:r>
      <w:r>
        <w:rPr>
          <w:rFonts w:hint="eastAsia" w:asciiTheme="minorEastAsia" w:hAnsiTheme="minorEastAsia" w:eastAsiaTheme="minorEastAsia" w:cstheme="minorEastAsia"/>
          <w:color w:val="000000"/>
          <w:kern w:val="0"/>
          <w:sz w:val="24"/>
          <w:szCs w:val="24"/>
          <w:lang w:bidi="ar"/>
        </w:rPr>
        <w:t xml:space="preserve"> 其他条款 </w:t>
      </w:r>
    </w:p>
    <w:p w14:paraId="06807100">
      <w:pPr>
        <w:widowControl/>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bidi="ar"/>
        </w:rPr>
        <w:t xml:space="preserve">1、乙方应严格按照相关安全操作规范、安全、文明施工，保证工程质量。 </w:t>
      </w:r>
    </w:p>
    <w:p w14:paraId="6E16E6A7">
      <w:pPr>
        <w:widowControl/>
        <w:spacing w:line="360"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bidi="ar"/>
        </w:rPr>
        <w:t xml:space="preserve">如乙方合同履行过程中，造成甲方、任何第三方人身财产损害的，应当承担赔偿 </w:t>
      </w:r>
    </w:p>
    <w:p w14:paraId="3A149153">
      <w:pPr>
        <w:widowControl/>
        <w:spacing w:line="360"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bidi="ar"/>
        </w:rPr>
        <w:t xml:space="preserve">责任 </w:t>
      </w:r>
    </w:p>
    <w:p w14:paraId="5368DBA4">
      <w:pPr>
        <w:widowControl/>
        <w:numPr>
          <w:ilvl w:val="0"/>
          <w:numId w:val="0"/>
        </w:numPr>
        <w:spacing w:line="360" w:lineRule="auto"/>
        <w:ind w:firstLine="428"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13"/>
          <w:sz w:val="24"/>
          <w:szCs w:val="24"/>
          <w:highlight w:val="none"/>
          <w:lang w:val="en-US" w:bidi="zh-CN"/>
        </w:rPr>
        <w:t xml:space="preserve">2、 </w:t>
      </w:r>
      <w:r>
        <w:rPr>
          <w:rFonts w:hint="eastAsia" w:asciiTheme="minorEastAsia" w:hAnsiTheme="minorEastAsia" w:eastAsiaTheme="minorEastAsia" w:cstheme="minorEastAsia"/>
          <w:color w:val="000000"/>
          <w:kern w:val="0"/>
          <w:sz w:val="24"/>
          <w:szCs w:val="24"/>
          <w:highlight w:val="none"/>
          <w:lang w:bidi="ar"/>
        </w:rPr>
        <w:t xml:space="preserve">本协议一式陆份，甲乙双方各执贰份，自双方签字盖章之日起生效执行。 </w:t>
      </w:r>
    </w:p>
    <w:p w14:paraId="4317360F">
      <w:pPr>
        <w:widowControl/>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3</w:t>
      </w:r>
      <w:r>
        <w:rPr>
          <w:rFonts w:hint="eastAsia" w:asciiTheme="minorEastAsia" w:hAnsiTheme="minorEastAsia" w:eastAsiaTheme="minorEastAsia" w:cstheme="minorEastAsia"/>
          <w:color w:val="000000"/>
          <w:kern w:val="0"/>
          <w:sz w:val="24"/>
          <w:szCs w:val="24"/>
          <w:highlight w:val="none"/>
          <w:lang w:bidi="ar"/>
        </w:rPr>
        <w:t xml:space="preserve">、其他未尽事宜，双方另行友好协商解决。 </w:t>
      </w:r>
    </w:p>
    <w:p w14:paraId="4BB019FB">
      <w:pPr>
        <w:widowControl/>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4</w:t>
      </w:r>
      <w:r>
        <w:rPr>
          <w:rFonts w:hint="eastAsia" w:asciiTheme="minorEastAsia" w:hAnsiTheme="minorEastAsia" w:eastAsiaTheme="minorEastAsia" w:cstheme="minorEastAsia"/>
          <w:color w:val="000000"/>
          <w:kern w:val="0"/>
          <w:sz w:val="24"/>
          <w:szCs w:val="24"/>
          <w:highlight w:val="none"/>
          <w:lang w:bidi="ar"/>
        </w:rPr>
        <w:t xml:space="preserve">、如遇合同外施工项目双方另行协商价格； </w:t>
      </w:r>
    </w:p>
    <w:p w14:paraId="7583E687">
      <w:pPr>
        <w:widowControl/>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5</w:t>
      </w:r>
      <w:r>
        <w:rPr>
          <w:rFonts w:hint="eastAsia" w:asciiTheme="minorEastAsia" w:hAnsiTheme="minorEastAsia" w:eastAsiaTheme="minorEastAsia" w:cstheme="minorEastAsia"/>
          <w:color w:val="000000"/>
          <w:kern w:val="0"/>
          <w:sz w:val="24"/>
          <w:szCs w:val="24"/>
          <w:highlight w:val="none"/>
          <w:lang w:bidi="ar"/>
        </w:rPr>
        <w:t xml:space="preserve">、如管道损坏造成无法封堵施工，将与甲方无关。 </w:t>
      </w:r>
    </w:p>
    <w:p w14:paraId="086B7177">
      <w:pPr>
        <w:widowControl/>
        <w:spacing w:line="360" w:lineRule="auto"/>
        <w:jc w:val="left"/>
        <w:rPr>
          <w:rFonts w:hint="eastAsia" w:asciiTheme="minorEastAsia" w:hAnsiTheme="minorEastAsia" w:eastAsiaTheme="minorEastAsia" w:cstheme="minorEastAsia"/>
          <w:color w:val="000000"/>
          <w:kern w:val="0"/>
          <w:sz w:val="24"/>
          <w:szCs w:val="24"/>
          <w:highlight w:val="none"/>
          <w:lang w:bidi="ar"/>
        </w:rPr>
      </w:pPr>
    </w:p>
    <w:p w14:paraId="6C8B5CF3">
      <w:pPr>
        <w:widowControl/>
        <w:spacing w:line="360" w:lineRule="auto"/>
        <w:jc w:val="left"/>
        <w:rPr>
          <w:rFonts w:hint="eastAsia" w:asciiTheme="minorEastAsia" w:hAnsiTheme="minorEastAsia" w:eastAsiaTheme="minorEastAsia" w:cstheme="minorEastAsia"/>
          <w:color w:val="000000"/>
          <w:kern w:val="0"/>
          <w:sz w:val="24"/>
          <w:szCs w:val="24"/>
          <w:lang w:bidi="ar"/>
        </w:rPr>
      </w:pPr>
    </w:p>
    <w:p w14:paraId="27B14107">
      <w:pPr>
        <w:widowControl/>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 xml:space="preserve">甲方：                               乙方： </w:t>
      </w:r>
    </w:p>
    <w:p w14:paraId="788C2D4E">
      <w:pPr>
        <w:widowControl/>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 xml:space="preserve">联系电话：                           联系电话： </w:t>
      </w:r>
    </w:p>
    <w:p w14:paraId="3F5C82BB">
      <w:pPr>
        <w:widowControl/>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 xml:space="preserve">委托人：                             委托人： </w:t>
      </w:r>
    </w:p>
    <w:p w14:paraId="25CEF6DD">
      <w:pPr>
        <w:widowControl/>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bidi="ar"/>
        </w:rPr>
        <w:t>签订日期： 年 月 日                  签订日期： 年 月 日</w:t>
      </w:r>
    </w:p>
    <w:p w14:paraId="02CF8671">
      <w:pPr>
        <w:pStyle w:val="3"/>
        <w:spacing w:line="360" w:lineRule="auto"/>
        <w:jc w:val="center"/>
        <w:rPr>
          <w:rFonts w:hint="eastAsia"/>
        </w:rPr>
      </w:pPr>
    </w:p>
    <w:p w14:paraId="77A0221C">
      <w:pPr>
        <w:pStyle w:val="20"/>
        <w:numPr>
          <w:ilvl w:val="0"/>
          <w:numId w:val="0"/>
        </w:numPr>
        <w:tabs>
          <w:tab w:val="left" w:pos="420"/>
        </w:tabs>
        <w:spacing w:line="360" w:lineRule="auto"/>
        <w:rPr>
          <w:rFonts w:hint="eastAsia" w:ascii="宋体" w:hAnsi="宋体" w:eastAsia="宋体" w:cs="宋体"/>
          <w:sz w:val="24"/>
          <w:szCs w:val="24"/>
          <w:lang w:val="zh-CN"/>
        </w:rPr>
      </w:pPr>
      <w:bookmarkStart w:id="72" w:name="_Toc9966"/>
      <w:bookmarkStart w:id="73" w:name="_Toc23959"/>
      <w:bookmarkStart w:id="74" w:name="_Toc12689"/>
      <w:bookmarkStart w:id="75" w:name="_Toc22807"/>
      <w:bookmarkStart w:id="76" w:name="_Toc20631"/>
      <w:bookmarkStart w:id="77" w:name="_Toc16552"/>
      <w:bookmarkStart w:id="78" w:name="_Toc17931"/>
      <w:bookmarkStart w:id="79" w:name="_Toc17972"/>
      <w:bookmarkStart w:id="80" w:name="_Toc23953_WPSOffice_Level2"/>
      <w:bookmarkStart w:id="81" w:name="_Toc9326"/>
      <w:bookmarkStart w:id="82" w:name="_Toc20831"/>
      <w:bookmarkStart w:id="83" w:name="_Toc25393"/>
      <w:bookmarkStart w:id="84" w:name="_Toc18696"/>
    </w:p>
    <w:p w14:paraId="389A0F02">
      <w:pPr>
        <w:pStyle w:val="20"/>
        <w:numPr>
          <w:ilvl w:val="0"/>
          <w:numId w:val="0"/>
        </w:numPr>
        <w:tabs>
          <w:tab w:val="left" w:pos="420"/>
        </w:tabs>
        <w:spacing w:line="360" w:lineRule="auto"/>
        <w:rPr>
          <w:rFonts w:hint="eastAsia" w:ascii="宋体" w:hAnsi="宋体" w:eastAsia="宋体" w:cs="宋体"/>
          <w:sz w:val="24"/>
          <w:szCs w:val="24"/>
          <w:lang w:val="zh-CN"/>
        </w:rPr>
      </w:pPr>
    </w:p>
    <w:p w14:paraId="2125CD03">
      <w:pPr>
        <w:pStyle w:val="20"/>
        <w:numPr>
          <w:ilvl w:val="0"/>
          <w:numId w:val="0"/>
        </w:numPr>
        <w:tabs>
          <w:tab w:val="left" w:pos="420"/>
        </w:tabs>
        <w:spacing w:line="360" w:lineRule="auto"/>
        <w:rPr>
          <w:rFonts w:hint="eastAsia" w:ascii="宋体" w:hAnsi="宋体" w:eastAsia="宋体" w:cs="宋体"/>
          <w:sz w:val="24"/>
          <w:szCs w:val="24"/>
          <w:lang w:val="zh-CN"/>
        </w:rPr>
      </w:pPr>
    </w:p>
    <w:p w14:paraId="770A41E8">
      <w:pPr>
        <w:pStyle w:val="20"/>
        <w:numPr>
          <w:ilvl w:val="0"/>
          <w:numId w:val="0"/>
        </w:numPr>
        <w:tabs>
          <w:tab w:val="left" w:pos="420"/>
        </w:tabs>
        <w:spacing w:line="360" w:lineRule="auto"/>
        <w:rPr>
          <w:rFonts w:hint="eastAsia" w:ascii="宋体" w:hAnsi="宋体" w:eastAsia="宋体" w:cs="宋体"/>
          <w:sz w:val="24"/>
          <w:szCs w:val="24"/>
          <w:lang w:val="zh-CN"/>
        </w:rPr>
      </w:pPr>
    </w:p>
    <w:p w14:paraId="7B97F0AD">
      <w:pPr>
        <w:pStyle w:val="20"/>
        <w:numPr>
          <w:ilvl w:val="0"/>
          <w:numId w:val="0"/>
        </w:numPr>
        <w:tabs>
          <w:tab w:val="left" w:pos="420"/>
        </w:tabs>
        <w:spacing w:line="360" w:lineRule="auto"/>
        <w:rPr>
          <w:rFonts w:hint="eastAsia" w:ascii="宋体" w:hAnsi="宋体" w:eastAsia="宋体" w:cs="宋体"/>
          <w:sz w:val="24"/>
          <w:szCs w:val="24"/>
          <w:lang w:val="zh-CN"/>
        </w:rPr>
      </w:pPr>
    </w:p>
    <w:p w14:paraId="758139FB">
      <w:pPr>
        <w:pStyle w:val="20"/>
        <w:numPr>
          <w:ilvl w:val="0"/>
          <w:numId w:val="0"/>
        </w:numPr>
        <w:tabs>
          <w:tab w:val="left" w:pos="420"/>
        </w:tabs>
        <w:spacing w:line="360" w:lineRule="auto"/>
        <w:rPr>
          <w:rFonts w:hint="eastAsia" w:ascii="宋体" w:hAnsi="宋体" w:eastAsia="宋体" w:cs="宋体"/>
          <w:sz w:val="24"/>
          <w:szCs w:val="24"/>
          <w:lang w:val="zh-CN"/>
        </w:rPr>
      </w:pPr>
    </w:p>
    <w:p w14:paraId="43B1FD3E">
      <w:pPr>
        <w:pStyle w:val="20"/>
        <w:numPr>
          <w:ilvl w:val="0"/>
          <w:numId w:val="0"/>
        </w:numPr>
        <w:tabs>
          <w:tab w:val="left" w:pos="420"/>
        </w:tabs>
        <w:spacing w:line="360" w:lineRule="auto"/>
        <w:rPr>
          <w:rFonts w:hint="eastAsia" w:ascii="宋体" w:hAnsi="宋体" w:eastAsia="宋体" w:cs="宋体"/>
          <w:sz w:val="24"/>
          <w:szCs w:val="24"/>
          <w:lang w:val="zh-CN"/>
        </w:rPr>
      </w:pPr>
    </w:p>
    <w:p w14:paraId="3DED2456">
      <w:pPr>
        <w:pStyle w:val="20"/>
        <w:numPr>
          <w:ilvl w:val="0"/>
          <w:numId w:val="0"/>
        </w:numPr>
        <w:tabs>
          <w:tab w:val="left" w:pos="420"/>
        </w:tabs>
        <w:spacing w:line="360" w:lineRule="auto"/>
        <w:rPr>
          <w:rFonts w:hint="eastAsia" w:ascii="宋体" w:hAnsi="宋体" w:eastAsia="宋体" w:cs="宋体"/>
          <w:sz w:val="24"/>
          <w:szCs w:val="24"/>
          <w:lang w:val="zh-CN"/>
        </w:rPr>
      </w:pPr>
    </w:p>
    <w:p w14:paraId="37E355FC">
      <w:pPr>
        <w:pStyle w:val="20"/>
        <w:numPr>
          <w:ilvl w:val="0"/>
          <w:numId w:val="0"/>
        </w:numPr>
        <w:tabs>
          <w:tab w:val="left" w:pos="420"/>
        </w:tabs>
        <w:spacing w:line="360" w:lineRule="auto"/>
        <w:rPr>
          <w:rFonts w:hint="eastAsia" w:ascii="宋体" w:hAnsi="宋体" w:eastAsia="宋体" w:cs="宋体"/>
          <w:sz w:val="24"/>
          <w:szCs w:val="24"/>
          <w:lang w:val="zh-CN"/>
        </w:rPr>
      </w:pPr>
    </w:p>
    <w:p w14:paraId="1651A894">
      <w:pPr>
        <w:pStyle w:val="20"/>
        <w:numPr>
          <w:ilvl w:val="0"/>
          <w:numId w:val="0"/>
        </w:numPr>
        <w:tabs>
          <w:tab w:val="left" w:pos="420"/>
        </w:tabs>
        <w:spacing w:line="360" w:lineRule="auto"/>
        <w:rPr>
          <w:rFonts w:hint="eastAsia" w:ascii="宋体" w:hAnsi="宋体" w:eastAsia="宋体" w:cs="宋体"/>
          <w:sz w:val="24"/>
          <w:szCs w:val="24"/>
          <w:lang w:val="zh-CN"/>
        </w:rPr>
      </w:pPr>
    </w:p>
    <w:p w14:paraId="5C2DA4D3">
      <w:pPr>
        <w:pStyle w:val="20"/>
        <w:numPr>
          <w:ilvl w:val="0"/>
          <w:numId w:val="0"/>
        </w:numPr>
        <w:tabs>
          <w:tab w:val="left" w:pos="420"/>
        </w:tabs>
        <w:spacing w:line="360" w:lineRule="auto"/>
        <w:rPr>
          <w:rFonts w:hint="eastAsia" w:ascii="宋体" w:hAnsi="宋体" w:eastAsia="宋体" w:cs="宋体"/>
          <w:sz w:val="24"/>
          <w:szCs w:val="24"/>
          <w:lang w:val="zh-CN"/>
        </w:rPr>
      </w:pPr>
    </w:p>
    <w:p w14:paraId="1CA8949B">
      <w:pPr>
        <w:pStyle w:val="20"/>
        <w:numPr>
          <w:ilvl w:val="0"/>
          <w:numId w:val="0"/>
        </w:numPr>
        <w:tabs>
          <w:tab w:val="left" w:pos="420"/>
        </w:tabs>
        <w:spacing w:line="360" w:lineRule="auto"/>
        <w:rPr>
          <w:rFonts w:hint="eastAsia" w:ascii="宋体" w:hAnsi="宋体" w:eastAsia="宋体" w:cs="宋体"/>
          <w:sz w:val="24"/>
          <w:szCs w:val="24"/>
          <w:lang w:val="zh-CN"/>
        </w:rPr>
      </w:pPr>
    </w:p>
    <w:p w14:paraId="1622A9EF">
      <w:pPr>
        <w:pStyle w:val="3"/>
        <w:spacing w:line="360" w:lineRule="auto"/>
        <w:jc w:val="center"/>
      </w:pPr>
      <w:bookmarkStart w:id="85" w:name="_Toc15"/>
      <w:r>
        <w:rPr>
          <w:rFonts w:hint="eastAsia"/>
        </w:rPr>
        <w:t>第四部分</w:t>
      </w:r>
      <w:r>
        <w:rPr>
          <w:rFonts w:hint="eastAsia"/>
          <w:lang w:val="en-US" w:eastAsia="zh-CN"/>
        </w:rPr>
        <w:t xml:space="preserve"> </w:t>
      </w:r>
      <w:r>
        <w:rPr>
          <w:rFonts w:hint="eastAsia"/>
        </w:rPr>
        <w:t>采购需求</w:t>
      </w:r>
      <w:bookmarkEnd w:id="85"/>
    </w:p>
    <w:p w14:paraId="74F8285C">
      <w:pPr>
        <w:pStyle w:val="20"/>
        <w:numPr>
          <w:ilvl w:val="0"/>
          <w:numId w:val="0"/>
        </w:numPr>
        <w:tabs>
          <w:tab w:val="left" w:pos="420"/>
        </w:tabs>
        <w:spacing w:line="360" w:lineRule="auto"/>
        <w:rPr>
          <w:rFonts w:hint="eastAsia" w:ascii="宋体" w:hAnsi="宋体" w:eastAsia="宋体" w:cs="宋体"/>
          <w:sz w:val="24"/>
          <w:szCs w:val="24"/>
          <w:lang w:val="zh-CN"/>
        </w:rPr>
      </w:pPr>
      <w:bookmarkStart w:id="86" w:name="_Toc17055"/>
      <w:r>
        <w:rPr>
          <w:rFonts w:hint="eastAsia" w:ascii="宋体" w:hAnsi="宋体" w:eastAsia="宋体" w:cs="宋体"/>
          <w:sz w:val="24"/>
          <w:szCs w:val="24"/>
          <w:lang w:val="zh-CN"/>
        </w:rPr>
        <w:t>一、项目概况</w:t>
      </w:r>
      <w:bookmarkEnd w:id="72"/>
      <w:bookmarkEnd w:id="73"/>
      <w:bookmarkEnd w:id="74"/>
      <w:bookmarkEnd w:id="75"/>
      <w:bookmarkEnd w:id="76"/>
      <w:bookmarkEnd w:id="77"/>
      <w:bookmarkEnd w:id="78"/>
      <w:bookmarkEnd w:id="79"/>
      <w:bookmarkEnd w:id="80"/>
      <w:bookmarkEnd w:id="81"/>
      <w:bookmarkEnd w:id="82"/>
      <w:bookmarkEnd w:id="83"/>
      <w:bookmarkEnd w:id="84"/>
      <w:bookmarkEnd w:id="86"/>
    </w:p>
    <w:p w14:paraId="6A97F694">
      <w:pPr>
        <w:spacing w:line="360" w:lineRule="auto"/>
        <w:ind w:firstLine="480" w:firstLineChars="200"/>
        <w:jc w:val="left"/>
        <w:rPr>
          <w:rFonts w:hint="eastAsia" w:ascii="宋体" w:hAnsi="宋体" w:eastAsia="宋体" w:cs="宋体"/>
          <w:sz w:val="24"/>
          <w:szCs w:val="24"/>
          <w:lang w:val="zh-CN"/>
        </w:rPr>
      </w:pPr>
      <w:r>
        <w:rPr>
          <w:rFonts w:hint="eastAsia" w:ascii="宋体" w:hAnsi="宋体" w:eastAsia="宋体" w:cs="宋体"/>
          <w:sz w:val="24"/>
          <w:lang w:val="zh-CN" w:eastAsia="zh-CN"/>
        </w:rPr>
        <w:t>栖霞区北十里长沟东支及百水河流域排水防涝综合整治工程代建管理服务</w:t>
      </w:r>
      <w:r>
        <w:rPr>
          <w:rFonts w:hint="eastAsia" w:ascii="宋体" w:hAnsi="宋体" w:eastAsia="宋体" w:cs="宋体"/>
          <w:sz w:val="24"/>
          <w:lang w:val="zh-CN"/>
        </w:rPr>
        <w:t>。</w:t>
      </w:r>
      <w:bookmarkStart w:id="87" w:name="_Toc32414"/>
      <w:bookmarkStart w:id="88" w:name="_Toc26342_WPSOffice_Level2"/>
      <w:bookmarkStart w:id="89" w:name="_Toc28185"/>
      <w:bookmarkStart w:id="90" w:name="_Toc13305"/>
      <w:bookmarkStart w:id="91" w:name="_Toc5366"/>
      <w:bookmarkStart w:id="92" w:name="_Toc7528"/>
      <w:bookmarkStart w:id="93" w:name="_Toc2230"/>
      <w:bookmarkStart w:id="94" w:name="_Toc3484"/>
      <w:bookmarkStart w:id="95" w:name="_Toc26826"/>
      <w:bookmarkStart w:id="96" w:name="_Toc28621"/>
    </w:p>
    <w:p w14:paraId="4E946139">
      <w:pPr>
        <w:pStyle w:val="20"/>
        <w:numPr>
          <w:ilvl w:val="0"/>
          <w:numId w:val="0"/>
        </w:numPr>
        <w:tabs>
          <w:tab w:val="left" w:pos="420"/>
        </w:tabs>
        <w:spacing w:line="360" w:lineRule="auto"/>
        <w:rPr>
          <w:rFonts w:hint="eastAsia" w:ascii="宋体" w:hAnsi="宋体" w:eastAsia="宋体" w:cs="宋体"/>
          <w:sz w:val="24"/>
          <w:szCs w:val="24"/>
          <w:lang w:val="zh-CN"/>
        </w:rPr>
      </w:pPr>
      <w:bookmarkStart w:id="97" w:name="_Toc30008"/>
      <w:r>
        <w:rPr>
          <w:rFonts w:hint="eastAsia" w:ascii="宋体" w:hAnsi="宋体" w:eastAsia="宋体" w:cs="宋体"/>
          <w:sz w:val="24"/>
          <w:szCs w:val="24"/>
          <w:lang w:val="zh-CN"/>
        </w:rPr>
        <w:t>二、</w:t>
      </w:r>
      <w:bookmarkEnd w:id="87"/>
      <w:bookmarkEnd w:id="88"/>
      <w:bookmarkEnd w:id="89"/>
      <w:bookmarkEnd w:id="90"/>
      <w:bookmarkEnd w:id="91"/>
      <w:bookmarkEnd w:id="92"/>
      <w:bookmarkEnd w:id="93"/>
      <w:bookmarkEnd w:id="94"/>
      <w:bookmarkEnd w:id="95"/>
      <w:bookmarkEnd w:id="96"/>
      <w:r>
        <w:rPr>
          <w:rFonts w:hint="eastAsia" w:ascii="宋体" w:hAnsi="宋体" w:cs="宋体"/>
          <w:sz w:val="24"/>
          <w:szCs w:val="24"/>
          <w:lang w:val="en-US" w:eastAsia="zh-CN"/>
        </w:rPr>
        <w:t>代建</w:t>
      </w:r>
      <w:r>
        <w:rPr>
          <w:rFonts w:hint="eastAsia" w:ascii="宋体" w:hAnsi="宋体" w:eastAsia="宋体" w:cs="宋体"/>
          <w:sz w:val="24"/>
          <w:szCs w:val="24"/>
          <w:lang w:val="zh-CN"/>
        </w:rPr>
        <w:t>项目清单</w:t>
      </w:r>
      <w:bookmarkEnd w:id="97"/>
    </w:p>
    <w:tbl>
      <w:tblPr>
        <w:tblStyle w:val="16"/>
        <w:tblW w:w="9276" w:type="dxa"/>
        <w:jc w:val="center"/>
        <w:tblLayout w:type="autofit"/>
        <w:tblCellMar>
          <w:top w:w="0" w:type="dxa"/>
          <w:left w:w="108" w:type="dxa"/>
          <w:bottom w:w="0" w:type="dxa"/>
          <w:right w:w="108" w:type="dxa"/>
        </w:tblCellMar>
      </w:tblPr>
      <w:tblGrid>
        <w:gridCol w:w="670"/>
        <w:gridCol w:w="6291"/>
        <w:gridCol w:w="2315"/>
      </w:tblGrid>
      <w:tr w14:paraId="4FD2EAF4">
        <w:tblPrEx>
          <w:tblCellMar>
            <w:top w:w="0" w:type="dxa"/>
            <w:left w:w="108" w:type="dxa"/>
            <w:bottom w:w="0" w:type="dxa"/>
            <w:right w:w="108" w:type="dxa"/>
          </w:tblCellMar>
        </w:tblPrEx>
        <w:trPr>
          <w:trHeight w:val="527" w:hRule="atLeast"/>
          <w:jc w:val="center"/>
        </w:trPr>
        <w:tc>
          <w:tcPr>
            <w:tcW w:w="670" w:type="dxa"/>
            <w:tcBorders>
              <w:top w:val="single" w:color="auto" w:sz="4" w:space="0"/>
              <w:left w:val="single" w:color="auto" w:sz="4" w:space="0"/>
              <w:bottom w:val="single" w:color="auto" w:sz="4" w:space="0"/>
              <w:right w:val="single" w:color="auto" w:sz="4" w:space="0"/>
            </w:tcBorders>
            <w:noWrap/>
            <w:vAlign w:val="center"/>
          </w:tcPr>
          <w:p w14:paraId="3A105E39">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6291" w:type="dxa"/>
            <w:tcBorders>
              <w:top w:val="single" w:color="auto" w:sz="4" w:space="0"/>
              <w:left w:val="nil"/>
              <w:bottom w:val="single" w:color="auto" w:sz="4" w:space="0"/>
              <w:right w:val="single" w:color="auto" w:sz="4" w:space="0"/>
            </w:tcBorders>
            <w:noWrap/>
            <w:vAlign w:val="center"/>
          </w:tcPr>
          <w:p w14:paraId="20FB914B">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工程名称</w:t>
            </w:r>
          </w:p>
        </w:tc>
        <w:tc>
          <w:tcPr>
            <w:tcW w:w="2315" w:type="dxa"/>
            <w:tcBorders>
              <w:top w:val="single" w:color="auto" w:sz="4" w:space="0"/>
              <w:left w:val="nil"/>
              <w:bottom w:val="single" w:color="auto" w:sz="4" w:space="0"/>
              <w:right w:val="single" w:color="auto" w:sz="4" w:space="0"/>
            </w:tcBorders>
            <w:noWrap/>
            <w:vAlign w:val="center"/>
          </w:tcPr>
          <w:p w14:paraId="6E01A2E4">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概算中工程估算价（万元）</w:t>
            </w:r>
          </w:p>
        </w:tc>
      </w:tr>
      <w:tr w14:paraId="18492E06">
        <w:tblPrEx>
          <w:tblCellMar>
            <w:top w:w="0" w:type="dxa"/>
            <w:left w:w="108" w:type="dxa"/>
            <w:bottom w:w="0" w:type="dxa"/>
            <w:right w:w="108" w:type="dxa"/>
          </w:tblCellMar>
        </w:tblPrEx>
        <w:trPr>
          <w:trHeight w:val="527" w:hRule="atLeast"/>
          <w:jc w:val="center"/>
        </w:trPr>
        <w:tc>
          <w:tcPr>
            <w:tcW w:w="670" w:type="dxa"/>
            <w:tcBorders>
              <w:top w:val="nil"/>
              <w:left w:val="single" w:color="auto" w:sz="4" w:space="0"/>
              <w:bottom w:val="single" w:color="auto" w:sz="4" w:space="0"/>
              <w:right w:val="single" w:color="auto" w:sz="4" w:space="0"/>
            </w:tcBorders>
            <w:noWrap/>
            <w:vAlign w:val="center"/>
          </w:tcPr>
          <w:p w14:paraId="698C82A8">
            <w:pPr>
              <w:widowControl/>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6291" w:type="dxa"/>
            <w:tcBorders>
              <w:top w:val="nil"/>
              <w:left w:val="nil"/>
              <w:bottom w:val="single" w:color="auto" w:sz="4" w:space="0"/>
              <w:right w:val="single" w:color="auto" w:sz="4" w:space="0"/>
            </w:tcBorders>
            <w:noWrap/>
            <w:vAlign w:val="center"/>
          </w:tcPr>
          <w:p w14:paraId="4E7D5613">
            <w:pPr>
              <w:widowControl/>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sz w:val="24"/>
                <w:szCs w:val="24"/>
                <w:lang w:eastAsia="zh-CN"/>
              </w:rPr>
              <w:t>栖霞区北十里长沟东支及百水河流域排水防涝综合整治工程代建管理服务</w:t>
            </w:r>
            <w:r>
              <w:rPr>
                <w:rFonts w:hint="eastAsia" w:ascii="宋体" w:hAnsi="宋体" w:eastAsia="宋体" w:cs="宋体"/>
                <w:sz w:val="24"/>
                <w:szCs w:val="24"/>
                <w:lang w:val="zh-CN"/>
              </w:rPr>
              <w:t>。</w:t>
            </w:r>
          </w:p>
        </w:tc>
        <w:tc>
          <w:tcPr>
            <w:tcW w:w="2315" w:type="dxa"/>
            <w:tcBorders>
              <w:top w:val="nil"/>
              <w:left w:val="nil"/>
              <w:bottom w:val="single" w:color="auto" w:sz="4" w:space="0"/>
              <w:right w:val="single" w:color="auto" w:sz="4" w:space="0"/>
            </w:tcBorders>
            <w:noWrap/>
            <w:vAlign w:val="center"/>
          </w:tcPr>
          <w:p w14:paraId="395BF816">
            <w:pPr>
              <w:widowControl/>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157万元</w:t>
            </w:r>
          </w:p>
        </w:tc>
      </w:tr>
    </w:tbl>
    <w:p w14:paraId="7C9E2C39">
      <w:pPr>
        <w:pStyle w:val="20"/>
        <w:numPr>
          <w:ilvl w:val="0"/>
          <w:numId w:val="0"/>
        </w:numPr>
        <w:tabs>
          <w:tab w:val="left" w:pos="420"/>
        </w:tabs>
        <w:spacing w:line="360" w:lineRule="auto"/>
        <w:rPr>
          <w:rFonts w:hint="eastAsia" w:ascii="宋体" w:hAnsi="宋体" w:eastAsia="宋体" w:cs="宋体"/>
          <w:sz w:val="24"/>
          <w:szCs w:val="24"/>
          <w:lang w:val="zh-CN"/>
        </w:rPr>
      </w:pPr>
      <w:bookmarkStart w:id="98" w:name="_Toc32512"/>
      <w:r>
        <w:rPr>
          <w:rFonts w:hint="eastAsia" w:ascii="宋体" w:hAnsi="宋体" w:eastAsia="宋体" w:cs="宋体"/>
          <w:sz w:val="24"/>
          <w:szCs w:val="24"/>
          <w:lang w:val="zh-CN"/>
        </w:rPr>
        <w:t>三</w:t>
      </w:r>
      <w:r>
        <w:rPr>
          <w:rFonts w:hint="eastAsia" w:ascii="宋体" w:hAnsi="宋体" w:eastAsia="宋体" w:cs="宋体"/>
          <w:sz w:val="24"/>
          <w:szCs w:val="24"/>
          <w:lang w:val="zh-CN" w:eastAsia="zh-CN"/>
        </w:rPr>
        <w:t>、</w:t>
      </w:r>
      <w:bookmarkEnd w:id="98"/>
      <w:r>
        <w:rPr>
          <w:rFonts w:hint="eastAsia" w:ascii="宋体" w:hAnsi="宋体" w:eastAsia="宋体" w:cs="宋体"/>
          <w:sz w:val="24"/>
          <w:szCs w:val="24"/>
          <w:lang w:val="en-US" w:eastAsia="zh-CN"/>
        </w:rPr>
        <w:t>建设内容</w:t>
      </w:r>
    </w:p>
    <w:p w14:paraId="1E7EE3E3">
      <w:pPr>
        <w:spacing w:line="360" w:lineRule="auto"/>
        <w:ind w:firstLine="480" w:firstLineChars="200"/>
        <w:jc w:val="left"/>
        <w:rPr>
          <w:rFonts w:hint="eastAsia" w:ascii="宋体" w:hAnsi="宋体" w:eastAsia="宋体" w:cs="宋体"/>
          <w:sz w:val="24"/>
          <w:lang w:val="zh-CN" w:eastAsia="zh-CN"/>
        </w:rPr>
      </w:pPr>
      <w:r>
        <w:rPr>
          <w:rFonts w:hint="eastAsia" w:ascii="宋体" w:hAnsi="宋体" w:eastAsia="宋体" w:cs="宋体"/>
          <w:sz w:val="24"/>
          <w:lang w:val="zh-CN" w:eastAsia="zh-CN"/>
        </w:rPr>
        <w:t>北十里长沟东支流域范围为长江-宁洛高速-栖霞大道-仙新路-尧佳路-太龙路-玄武大道-电建路围合区域，面积约17.17km²;百水河流域范围为仙林大道-燕西线-启迪大街-环陵路围合区域，面积约16.05km²。</w:t>
      </w:r>
    </w:p>
    <w:p w14:paraId="6ACC2A03">
      <w:pPr>
        <w:spacing w:line="360" w:lineRule="auto"/>
        <w:ind w:firstLine="480" w:firstLineChars="200"/>
        <w:jc w:val="left"/>
        <w:rPr>
          <w:rFonts w:hint="eastAsia" w:ascii="宋体" w:hAnsi="宋体" w:eastAsia="宋体" w:cs="宋体"/>
          <w:sz w:val="24"/>
          <w:lang w:val="zh-CN" w:eastAsia="zh-CN"/>
        </w:rPr>
      </w:pPr>
      <w:r>
        <w:rPr>
          <w:rFonts w:hint="eastAsia" w:ascii="宋体" w:hAnsi="宋体" w:eastAsia="宋体" w:cs="宋体"/>
          <w:sz w:val="24"/>
          <w:lang w:val="zh-CN" w:eastAsia="zh-CN"/>
        </w:rPr>
        <w:t>（</w:t>
      </w:r>
      <w:r>
        <w:rPr>
          <w:rFonts w:hint="eastAsia" w:ascii="宋体" w:hAnsi="宋体" w:eastAsia="宋体" w:cs="宋体"/>
          <w:sz w:val="24"/>
          <w:lang w:val="en-US" w:eastAsia="zh-CN"/>
        </w:rPr>
        <w:t>一</w:t>
      </w:r>
      <w:r>
        <w:rPr>
          <w:rFonts w:hint="eastAsia" w:ascii="宋体" w:hAnsi="宋体" w:eastAsia="宋体" w:cs="宋体"/>
          <w:sz w:val="24"/>
          <w:lang w:val="zh-CN" w:eastAsia="zh-CN"/>
        </w:rPr>
        <w:t>）主要建设内容包括：</w:t>
      </w:r>
    </w:p>
    <w:p w14:paraId="394D71E3">
      <w:pPr>
        <w:spacing w:line="360" w:lineRule="auto"/>
        <w:ind w:firstLine="480" w:firstLineChars="200"/>
        <w:jc w:val="left"/>
        <w:rPr>
          <w:rFonts w:hint="eastAsia" w:ascii="宋体" w:hAnsi="宋体" w:eastAsia="宋体" w:cs="宋体"/>
          <w:sz w:val="24"/>
          <w:lang w:val="zh-CN" w:eastAsia="zh-CN"/>
        </w:rPr>
      </w:pPr>
      <w:r>
        <w:rPr>
          <w:rFonts w:hint="eastAsia" w:ascii="宋体" w:hAnsi="宋体" w:eastAsia="宋体" w:cs="宋体"/>
          <w:sz w:val="24"/>
          <w:lang w:val="en-US" w:eastAsia="zh-CN"/>
        </w:rPr>
        <w:t>1.</w:t>
      </w:r>
      <w:r>
        <w:rPr>
          <w:rFonts w:hint="eastAsia" w:ascii="宋体" w:hAnsi="宋体" w:eastAsia="宋体" w:cs="宋体"/>
          <w:sz w:val="24"/>
          <w:lang w:val="zh-CN" w:eastAsia="zh-CN"/>
        </w:rPr>
        <w:t>河道清淤工程：对北十里长沟东支、柳塘沟以及百水河、湖底撇洪沟等9条河道部分河段进行清淤，清理长度约6350m，清淤量约 3.51万m。</w:t>
      </w:r>
    </w:p>
    <w:p w14:paraId="2A32F7D2">
      <w:pPr>
        <w:spacing w:line="360" w:lineRule="auto"/>
        <w:ind w:firstLine="480" w:firstLineChars="200"/>
        <w:jc w:val="left"/>
        <w:rPr>
          <w:rFonts w:hint="eastAsia" w:ascii="宋体" w:hAnsi="宋体" w:eastAsia="宋体" w:cs="宋体"/>
          <w:sz w:val="24"/>
          <w:lang w:val="zh-CN" w:eastAsia="zh-CN"/>
        </w:rPr>
      </w:pPr>
      <w:r>
        <w:rPr>
          <w:rFonts w:hint="eastAsia" w:ascii="宋体" w:hAnsi="宋体" w:eastAsia="宋体" w:cs="宋体"/>
          <w:sz w:val="24"/>
          <w:lang w:val="en-US" w:eastAsia="zh-CN"/>
        </w:rPr>
        <w:t>2.</w:t>
      </w:r>
      <w:r>
        <w:rPr>
          <w:rFonts w:hint="eastAsia" w:ascii="宋体" w:hAnsi="宋体" w:eastAsia="宋体" w:cs="宋体"/>
          <w:sz w:val="24"/>
          <w:lang w:val="zh-CN" w:eastAsia="zh-CN"/>
        </w:rPr>
        <w:t>河道设施整治工程：对北十里长沟东支、百水河、柳塘沟、牛庄撇洪沟、牛王庙沟、姬家庄沟等部分岸坡进行整治,实施连锁式生态砖550m²，松木桩 500根，浆砌块石120m³，新建、修复钢筋混凝土护栏3520m，钢筋混凝土挡墙500m²，生态草皮1100m，人行步道面包砖 880m²;对瑞霞路河长制公园对面危挡墙进行改造，长度约 132m。</w:t>
      </w:r>
    </w:p>
    <w:p w14:paraId="4DF38794">
      <w:pPr>
        <w:spacing w:line="360" w:lineRule="auto"/>
        <w:ind w:firstLine="480" w:firstLineChars="200"/>
        <w:jc w:val="left"/>
        <w:rPr>
          <w:rFonts w:hint="eastAsia" w:ascii="宋体" w:hAnsi="宋体" w:eastAsia="宋体" w:cs="宋体"/>
          <w:sz w:val="24"/>
          <w:lang w:val="zh-CN" w:eastAsia="zh-CN"/>
        </w:rPr>
      </w:pPr>
      <w:r>
        <w:rPr>
          <w:rFonts w:hint="eastAsia" w:ascii="宋体" w:hAnsi="宋体" w:eastAsia="宋体" w:cs="宋体"/>
          <w:sz w:val="24"/>
          <w:lang w:val="en-US" w:eastAsia="zh-CN"/>
        </w:rPr>
        <w:t>3.</w:t>
      </w:r>
      <w:r>
        <w:rPr>
          <w:rFonts w:hint="eastAsia" w:ascii="宋体" w:hAnsi="宋体" w:eastAsia="宋体" w:cs="宋体"/>
          <w:sz w:val="24"/>
          <w:lang w:val="zh-CN" w:eastAsia="zh-CN"/>
        </w:rPr>
        <w:t>截流改造工程：改造截流井2座，更换北十里长沟东支L15排口截流井内闸门，新建百水河L25排口截流井;黄马路(仙林大道一绕城路)市政错混接点改造2处，改造雨水口1座、d300-d600雨水管道209m，新建检查井7座，路面恢复550m²;地块错混接改造雨水口10座、d300-d600雨水管道1250m、雨水检查井15座，改造d400污水管道500m、污水检查井16座,路面恢复2250m²。</w:t>
      </w:r>
    </w:p>
    <w:p w14:paraId="211BF3DE">
      <w:pPr>
        <w:spacing w:line="360" w:lineRule="auto"/>
        <w:ind w:firstLine="480" w:firstLineChars="200"/>
        <w:jc w:val="left"/>
        <w:rPr>
          <w:rFonts w:hint="eastAsia" w:ascii="宋体" w:hAnsi="宋体" w:eastAsia="宋体" w:cs="宋体"/>
          <w:sz w:val="24"/>
          <w:lang w:val="zh-CN" w:eastAsia="zh-CN"/>
        </w:rPr>
      </w:pPr>
      <w:r>
        <w:rPr>
          <w:rFonts w:hint="eastAsia" w:ascii="宋体" w:hAnsi="宋体" w:eastAsia="宋体" w:cs="宋体"/>
          <w:sz w:val="24"/>
          <w:lang w:val="en-US" w:eastAsia="zh-CN"/>
        </w:rPr>
        <w:t>4.</w:t>
      </w:r>
      <w:r>
        <w:rPr>
          <w:rFonts w:hint="eastAsia" w:ascii="宋体" w:hAnsi="宋体" w:eastAsia="宋体" w:cs="宋体"/>
          <w:sz w:val="24"/>
          <w:lang w:val="zh-CN" w:eastAsia="zh-CN"/>
        </w:rPr>
        <w:t>排口溯源管网缺陷改造工程：改造雨水口 21座、d300-d2000雨水管道5626m、雨水检查井171座，改造d400污水管道600m、污水检查井20座，更换井盖177座，路面恢复10118m²。</w:t>
      </w:r>
    </w:p>
    <w:p w14:paraId="2F31FCBD">
      <w:pPr>
        <w:spacing w:line="360" w:lineRule="auto"/>
        <w:ind w:firstLine="480" w:firstLineChars="200"/>
        <w:jc w:val="left"/>
        <w:rPr>
          <w:rFonts w:hint="eastAsia" w:ascii="宋体" w:hAnsi="宋体" w:eastAsia="宋体" w:cs="宋体"/>
          <w:sz w:val="24"/>
          <w:lang w:val="zh-CN" w:eastAsia="zh-CN"/>
        </w:rPr>
      </w:pPr>
      <w:r>
        <w:rPr>
          <w:rFonts w:hint="eastAsia" w:ascii="宋体" w:hAnsi="宋体" w:eastAsia="宋体" w:cs="宋体"/>
          <w:sz w:val="24"/>
          <w:lang w:val="en-US" w:eastAsia="zh-CN"/>
        </w:rPr>
        <w:t>5.</w:t>
      </w:r>
      <w:r>
        <w:rPr>
          <w:rFonts w:hint="eastAsia" w:ascii="宋体" w:hAnsi="宋体" w:eastAsia="宋体" w:cs="宋体"/>
          <w:sz w:val="24"/>
          <w:lang w:val="zh-CN" w:eastAsia="zh-CN"/>
        </w:rPr>
        <w:t>污水漫溢点改造工程：对公安路污水漫溢点改造,通过新建165md600雨水管道、110m d400污水管道以及1座智能截流井,将尧化新村小区雨水接驳至太龙路雨水管道，并新建雨水检查井8座、污水检查井3座，路面恢复440m²。</w:t>
      </w:r>
    </w:p>
    <w:p w14:paraId="18977DE8">
      <w:pPr>
        <w:spacing w:line="360" w:lineRule="auto"/>
        <w:ind w:firstLine="480" w:firstLineChars="200"/>
        <w:jc w:val="left"/>
        <w:rPr>
          <w:rFonts w:hint="eastAsia" w:ascii="宋体" w:hAnsi="宋体" w:eastAsia="宋体" w:cs="宋体"/>
          <w:sz w:val="24"/>
          <w:lang w:val="zh-CN" w:eastAsia="zh-CN"/>
        </w:rPr>
      </w:pPr>
      <w:r>
        <w:rPr>
          <w:rFonts w:hint="eastAsia" w:ascii="宋体" w:hAnsi="宋体" w:eastAsia="宋体" w:cs="宋体"/>
          <w:sz w:val="24"/>
          <w:lang w:val="en-US" w:eastAsia="zh-CN"/>
        </w:rPr>
        <w:t>6.</w:t>
      </w:r>
      <w:r>
        <w:rPr>
          <w:rFonts w:hint="eastAsia" w:ascii="宋体" w:hAnsi="宋体" w:eastAsia="宋体" w:cs="宋体"/>
          <w:sz w:val="24"/>
          <w:lang w:val="zh-CN" w:eastAsia="zh-CN"/>
        </w:rPr>
        <w:t>雨水管网工程：更换改造d600-d1500雨水管道2690m,改造检查井76座，沥青路面恢复6725m²。</w:t>
      </w:r>
    </w:p>
    <w:p w14:paraId="3D8A4CE4">
      <w:pPr>
        <w:spacing w:line="360" w:lineRule="auto"/>
        <w:ind w:firstLine="480" w:firstLineChars="200"/>
        <w:rPr>
          <w:rFonts w:hint="eastAsia" w:ascii="宋体" w:hAnsi="宋体" w:eastAsia="宋体"/>
          <w:sz w:val="24"/>
          <w:szCs w:val="24"/>
          <w:lang w:val="en-US" w:eastAsia="zh-CN"/>
        </w:rPr>
      </w:pPr>
      <w:r>
        <w:rPr>
          <w:rFonts w:hint="eastAsia" w:ascii="宋体" w:hAnsi="宋体" w:eastAsia="宋体" w:cs="宋体"/>
          <w:sz w:val="24"/>
          <w:lang w:val="en-US" w:eastAsia="zh-CN"/>
        </w:rPr>
        <w:t>（二）代建管理服务范围：</w:t>
      </w:r>
      <w:r>
        <w:rPr>
          <w:rFonts w:hint="eastAsia" w:ascii="宋体" w:hAnsi="宋体" w:eastAsia="宋体"/>
          <w:sz w:val="24"/>
          <w:szCs w:val="24"/>
          <w:lang w:eastAsia="zh-CN"/>
        </w:rPr>
        <w:t>项目实施内容包括但不限于代表业主进行建设实施的项目施工管理、工程款支付管理、竣工结算和竣工验收管理等，并对工程项目进行质量、安全、进度、投资、合同、信息等管理，直至办理竣工验收手续和竣工决算、资产移交使用单位等实施过程的建设管理工作；项目的各类手续报批、报建、报表和组织协调各方面关系，整理汇编移交有关项目资料等。</w:t>
      </w:r>
    </w:p>
    <w:p w14:paraId="504CD341">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val="en-US" w:eastAsia="zh-CN"/>
        </w:rPr>
        <w:t>1.</w:t>
      </w:r>
      <w:r>
        <w:rPr>
          <w:rFonts w:hint="eastAsia" w:ascii="宋体" w:hAnsi="宋体" w:eastAsia="宋体"/>
          <w:sz w:val="24"/>
          <w:szCs w:val="24"/>
          <w:lang w:eastAsia="zh-CN"/>
        </w:rPr>
        <w:t>负责审核有关工程合同条款，提出书面审核意见，协助委托人签订合同并监督实施；</w:t>
      </w:r>
    </w:p>
    <w:p w14:paraId="3F9BAC91">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val="en-US" w:eastAsia="zh-CN"/>
        </w:rPr>
        <w:t>2.</w:t>
      </w:r>
      <w:r>
        <w:rPr>
          <w:rFonts w:hint="eastAsia" w:ascii="宋体" w:hAnsi="宋体" w:eastAsia="宋体"/>
          <w:sz w:val="24"/>
          <w:szCs w:val="24"/>
          <w:lang w:eastAsia="zh-CN"/>
        </w:rPr>
        <w:t>负责按工程进度提出投资计划申请，并按月向委托人报送工程进度和资金使用情况；进行建设工程投资管理，严格审核监理和施工单位申报的工程量和单价等，配合签发进度款；</w:t>
      </w:r>
    </w:p>
    <w:p w14:paraId="6FB6EE7F">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val="en-US" w:eastAsia="zh-CN"/>
        </w:rPr>
        <w:t>3.</w:t>
      </w:r>
      <w:r>
        <w:rPr>
          <w:rFonts w:hint="eastAsia" w:ascii="宋体" w:hAnsi="宋体" w:eastAsia="宋体"/>
          <w:sz w:val="24"/>
          <w:szCs w:val="24"/>
          <w:lang w:eastAsia="zh-CN"/>
        </w:rPr>
        <w:t>负责审查设计变更、处理工程索赔，经业主方同意，办理图纸变更手续；组织工程施工项目试验检测，组织进行各单位工程的中间验收和交工验收；在质量缺陷责任期内，负责组织返修工作；</w:t>
      </w:r>
    </w:p>
    <w:p w14:paraId="7260243C">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val="en-US" w:eastAsia="zh-CN"/>
        </w:rPr>
        <w:t>4.</w:t>
      </w:r>
      <w:r>
        <w:rPr>
          <w:rFonts w:hint="eastAsia" w:ascii="宋体" w:hAnsi="宋体" w:eastAsia="宋体"/>
          <w:sz w:val="24"/>
          <w:szCs w:val="24"/>
          <w:lang w:eastAsia="zh-CN"/>
        </w:rPr>
        <w:t>负责施工阶段实施进度、质量、投资三控制和合同、信息管理、安全生产管理及施工组织协调；</w:t>
      </w:r>
    </w:p>
    <w:p w14:paraId="4EBF852B">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val="en-US" w:eastAsia="zh-CN"/>
        </w:rPr>
        <w:t>5.</w:t>
      </w:r>
      <w:r>
        <w:rPr>
          <w:rFonts w:hint="eastAsia" w:ascii="宋体" w:hAnsi="宋体" w:eastAsia="宋体"/>
          <w:sz w:val="24"/>
          <w:szCs w:val="24"/>
          <w:lang w:eastAsia="zh-CN"/>
        </w:rPr>
        <w:t>负责处理与周边相关单位的协调；</w:t>
      </w:r>
    </w:p>
    <w:p w14:paraId="494A41A2">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val="en-US" w:eastAsia="zh-CN"/>
        </w:rPr>
        <w:t>6.</w:t>
      </w:r>
      <w:r>
        <w:rPr>
          <w:rFonts w:hint="eastAsia" w:ascii="宋体" w:hAnsi="宋体" w:eastAsia="宋体"/>
          <w:sz w:val="24"/>
          <w:szCs w:val="24"/>
          <w:lang w:eastAsia="zh-CN"/>
        </w:rPr>
        <w:t>负责处理突发事件、扰民事件等；</w:t>
      </w:r>
    </w:p>
    <w:p w14:paraId="4E0B7B86">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val="en-US" w:eastAsia="zh-CN"/>
        </w:rPr>
        <w:t>7.</w:t>
      </w:r>
      <w:r>
        <w:rPr>
          <w:rFonts w:hint="eastAsia" w:ascii="宋体" w:hAnsi="宋体" w:eastAsia="宋体"/>
          <w:sz w:val="24"/>
          <w:szCs w:val="24"/>
          <w:lang w:eastAsia="zh-CN"/>
        </w:rPr>
        <w:t>负责组织工程竣工验收，向委托人移交竣工档案资料；</w:t>
      </w:r>
    </w:p>
    <w:p w14:paraId="3F19078F">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val="en-US" w:eastAsia="zh-CN"/>
        </w:rPr>
        <w:t>8.</w:t>
      </w:r>
      <w:r>
        <w:rPr>
          <w:rFonts w:hint="eastAsia" w:ascii="宋体" w:hAnsi="宋体" w:eastAsia="宋体"/>
          <w:sz w:val="24"/>
          <w:szCs w:val="24"/>
          <w:lang w:eastAsia="zh-CN"/>
        </w:rPr>
        <w:t>按规定根据委托人按工程项目进度确定的时间内向委托人及相关政府部门以书面文件形式提交实施阶段所需要的报告；</w:t>
      </w:r>
    </w:p>
    <w:p w14:paraId="4BBFE810">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val="en-US" w:eastAsia="zh-CN"/>
        </w:rPr>
        <w:t>9.</w:t>
      </w:r>
      <w:r>
        <w:rPr>
          <w:rFonts w:hint="eastAsia" w:ascii="宋体" w:hAnsi="宋体" w:eastAsia="宋体"/>
          <w:sz w:val="24"/>
          <w:szCs w:val="24"/>
          <w:lang w:eastAsia="zh-CN"/>
        </w:rPr>
        <w:t>负责组织竣工结算工作，配合完成基建审计；</w:t>
      </w:r>
    </w:p>
    <w:p w14:paraId="0F939ABD">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val="en-US" w:eastAsia="zh-CN"/>
        </w:rPr>
        <w:t>10.</w:t>
      </w:r>
      <w:r>
        <w:rPr>
          <w:rFonts w:hint="eastAsia" w:ascii="宋体" w:hAnsi="宋体" w:eastAsia="宋体"/>
          <w:sz w:val="24"/>
          <w:szCs w:val="24"/>
          <w:lang w:eastAsia="zh-CN"/>
        </w:rPr>
        <w:t>协助编制竣工财务决算报告；</w:t>
      </w:r>
    </w:p>
    <w:p w14:paraId="449FDB28">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val="en-US" w:eastAsia="zh-CN"/>
        </w:rPr>
        <w:t>11.</w:t>
      </w:r>
      <w:r>
        <w:rPr>
          <w:rFonts w:hint="eastAsia" w:ascii="宋体" w:hAnsi="宋体" w:eastAsia="宋体"/>
          <w:sz w:val="24"/>
          <w:szCs w:val="24"/>
          <w:lang w:eastAsia="zh-CN"/>
        </w:rPr>
        <w:t>委托项目管理合同约定的其他工作。</w:t>
      </w:r>
    </w:p>
    <w:p w14:paraId="47E084EE">
      <w:pPr>
        <w:spacing w:line="360" w:lineRule="auto"/>
        <w:rPr>
          <w:rFonts w:hint="eastAsia" w:ascii="宋体" w:hAnsi="宋体" w:eastAsia="宋体" w:cs="宋体"/>
          <w:color w:val="0000FF"/>
          <w:kern w:val="2"/>
          <w:sz w:val="21"/>
          <w:szCs w:val="21"/>
        </w:rPr>
      </w:pPr>
      <w:r>
        <w:rPr>
          <w:rFonts w:hint="eastAsia" w:ascii="宋体" w:hAnsi="宋体" w:eastAsia="宋体" w:cs="宋体"/>
          <w:b w:val="0"/>
          <w:bCs w:val="0"/>
          <w:color w:val="000000"/>
          <w:kern w:val="0"/>
          <w:szCs w:val="21"/>
          <w:lang w:val="en-US" w:eastAsia="zh-CN" w:bidi="ar"/>
        </w:rPr>
        <w:t>四、</w:t>
      </w:r>
      <w:r>
        <w:rPr>
          <w:rFonts w:hint="eastAsia" w:ascii="宋体" w:hAnsi="宋体" w:eastAsia="宋体"/>
          <w:b w:val="0"/>
          <w:bCs w:val="0"/>
          <w:sz w:val="24"/>
          <w:szCs w:val="24"/>
          <w:lang w:eastAsia="zh-CN"/>
        </w:rPr>
        <w:t>合同履行期限：</w:t>
      </w:r>
      <w:r>
        <w:rPr>
          <w:rFonts w:hint="eastAsia" w:ascii="宋体" w:hAnsi="宋体" w:eastAsia="宋体"/>
          <w:sz w:val="24"/>
          <w:szCs w:val="24"/>
          <w:lang w:eastAsia="zh-CN"/>
        </w:rPr>
        <w:t>自合同签订之日起至本项目竣工验收合格且决算审计完成</w:t>
      </w:r>
      <w:r>
        <w:rPr>
          <w:rFonts w:hint="eastAsia" w:ascii="宋体" w:hAnsi="宋体" w:eastAsia="宋体" w:cs="宋体"/>
          <w:color w:val="0000FF"/>
          <w:kern w:val="2"/>
          <w:sz w:val="21"/>
          <w:szCs w:val="21"/>
        </w:rPr>
        <w:t>。</w:t>
      </w:r>
    </w:p>
    <w:p w14:paraId="123970BA">
      <w:pPr>
        <w:spacing w:line="360" w:lineRule="auto"/>
        <w:rPr>
          <w:rFonts w:hint="eastAsia" w:ascii="宋体" w:hAnsi="宋体" w:eastAsia="宋体"/>
          <w:sz w:val="24"/>
          <w:szCs w:val="24"/>
          <w:lang w:eastAsia="zh-CN"/>
        </w:rPr>
      </w:pPr>
      <w:r>
        <w:rPr>
          <w:rFonts w:hint="eastAsia" w:ascii="宋体" w:hAnsi="宋体" w:eastAsia="宋体"/>
          <w:sz w:val="24"/>
          <w:szCs w:val="24"/>
          <w:lang w:val="en-US" w:eastAsia="zh-CN"/>
        </w:rPr>
        <w:t>五、</w:t>
      </w:r>
      <w:r>
        <w:rPr>
          <w:rFonts w:hint="eastAsia" w:ascii="宋体" w:hAnsi="宋体" w:eastAsia="宋体"/>
          <w:sz w:val="24"/>
          <w:szCs w:val="24"/>
          <w:lang w:eastAsia="zh-CN"/>
        </w:rPr>
        <w:t xml:space="preserve">其他 </w:t>
      </w:r>
    </w:p>
    <w:p w14:paraId="4B8FAB51">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val="en-US" w:eastAsia="zh-CN"/>
        </w:rPr>
        <w:t>1.</w:t>
      </w:r>
      <w:r>
        <w:rPr>
          <w:rFonts w:hint="eastAsia" w:ascii="宋体" w:hAnsi="宋体" w:eastAsia="宋体"/>
          <w:sz w:val="24"/>
          <w:szCs w:val="24"/>
          <w:lang w:eastAsia="zh-CN"/>
        </w:rPr>
        <w:t>本工程措施项目投标单位自行勘察现场，结合现场实际情况综合报价，结算时不得增加相关费用。</w:t>
      </w:r>
    </w:p>
    <w:p w14:paraId="33148413">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val="en-US" w:eastAsia="zh-CN"/>
        </w:rPr>
        <w:t>2.</w:t>
      </w:r>
      <w:r>
        <w:rPr>
          <w:rFonts w:hint="eastAsia" w:ascii="宋体" w:hAnsi="宋体" w:eastAsia="宋体"/>
          <w:sz w:val="24"/>
          <w:szCs w:val="24"/>
          <w:lang w:eastAsia="zh-CN"/>
        </w:rPr>
        <w:t xml:space="preserve">报价要求 </w:t>
      </w:r>
    </w:p>
    <w:p w14:paraId="11874826">
      <w:p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报价为全包费用报价，最终报价应是本</w:t>
      </w:r>
      <w:r>
        <w:rPr>
          <w:rFonts w:hint="eastAsia" w:ascii="宋体" w:hAnsi="宋体" w:eastAsia="宋体"/>
          <w:sz w:val="24"/>
          <w:szCs w:val="24"/>
          <w:lang w:val="en-US" w:eastAsia="zh-CN"/>
        </w:rPr>
        <w:t>采购</w:t>
      </w:r>
      <w:r>
        <w:rPr>
          <w:rFonts w:hint="eastAsia" w:ascii="宋体" w:hAnsi="宋体" w:eastAsia="宋体"/>
          <w:sz w:val="24"/>
          <w:szCs w:val="24"/>
          <w:lang w:eastAsia="zh-CN"/>
        </w:rPr>
        <w:t>文件所包含确定的全部工作内容及本</w:t>
      </w:r>
      <w:r>
        <w:rPr>
          <w:rFonts w:hint="eastAsia" w:ascii="宋体" w:hAnsi="宋体" w:eastAsia="宋体"/>
          <w:sz w:val="24"/>
          <w:szCs w:val="24"/>
          <w:lang w:val="en-US" w:eastAsia="zh-CN"/>
        </w:rPr>
        <w:t>采购</w:t>
      </w:r>
      <w:r>
        <w:rPr>
          <w:rFonts w:hint="eastAsia" w:ascii="宋体" w:hAnsi="宋体" w:eastAsia="宋体"/>
          <w:sz w:val="24"/>
          <w:szCs w:val="24"/>
          <w:lang w:eastAsia="zh-CN"/>
        </w:rPr>
        <w:t>文件未说明但完成该项目必须包含的所有全包费用的价格体现。各投标人根据本项目概况和</w:t>
      </w:r>
      <w:r>
        <w:rPr>
          <w:rFonts w:hint="eastAsia" w:ascii="宋体" w:hAnsi="宋体" w:eastAsia="宋体"/>
          <w:sz w:val="24"/>
          <w:szCs w:val="24"/>
          <w:lang w:val="en-US" w:eastAsia="zh-CN"/>
        </w:rPr>
        <w:t>采购</w:t>
      </w:r>
      <w:r>
        <w:rPr>
          <w:rFonts w:hint="eastAsia" w:ascii="宋体" w:hAnsi="宋体" w:eastAsia="宋体"/>
          <w:sz w:val="24"/>
          <w:szCs w:val="24"/>
          <w:lang w:eastAsia="zh-CN"/>
        </w:rPr>
        <w:t>人的有关要求，结合自身的经验，对本项目所需费用进行报价，投标人报价应包含</w:t>
      </w:r>
      <w:r>
        <w:rPr>
          <w:rFonts w:hint="eastAsia" w:ascii="宋体" w:hAnsi="宋体" w:eastAsia="宋体"/>
          <w:sz w:val="24"/>
          <w:szCs w:val="24"/>
          <w:lang w:val="en-US" w:eastAsia="zh-CN"/>
        </w:rPr>
        <w:t>采购</w:t>
      </w:r>
      <w:r>
        <w:rPr>
          <w:rFonts w:hint="eastAsia" w:ascii="宋体" w:hAnsi="宋体" w:eastAsia="宋体"/>
          <w:sz w:val="24"/>
          <w:szCs w:val="24"/>
          <w:lang w:eastAsia="zh-CN"/>
        </w:rPr>
        <w:t>文件所要求投标人完成本项目</w:t>
      </w:r>
      <w:r>
        <w:rPr>
          <w:rFonts w:hint="eastAsia" w:ascii="宋体" w:hAnsi="宋体" w:eastAsia="宋体"/>
          <w:sz w:val="24"/>
          <w:szCs w:val="24"/>
          <w:lang w:val="en-US" w:eastAsia="zh-CN"/>
        </w:rPr>
        <w:t>所有费用</w:t>
      </w:r>
      <w:r>
        <w:rPr>
          <w:rFonts w:hint="eastAsia" w:ascii="宋体" w:hAnsi="宋体" w:eastAsia="宋体"/>
          <w:sz w:val="24"/>
          <w:szCs w:val="24"/>
          <w:lang w:eastAsia="zh-CN"/>
        </w:rPr>
        <w:t>、资料搜集和工作例会费、项目评审费、招标代理服务费以及应由投标人支付的规费及税金等一切费用所需的费用。</w:t>
      </w:r>
    </w:p>
    <w:p w14:paraId="5A4B46CB">
      <w:pPr>
        <w:spacing w:line="360" w:lineRule="auto"/>
        <w:ind w:firstLine="480" w:firstLineChars="200"/>
        <w:rPr>
          <w:rFonts w:hint="eastAsia" w:ascii="宋体" w:hAnsi="宋体" w:eastAsia="宋体"/>
          <w:sz w:val="24"/>
          <w:szCs w:val="24"/>
          <w:lang w:val="zh-CN" w:eastAsia="zh-CN"/>
        </w:rPr>
      </w:pPr>
    </w:p>
    <w:p w14:paraId="769888E8">
      <w:pPr>
        <w:spacing w:line="360" w:lineRule="auto"/>
        <w:ind w:firstLine="480" w:firstLineChars="200"/>
        <w:rPr>
          <w:rFonts w:ascii="Times New Roman" w:hAnsi="Times New Roman" w:eastAsia="仿宋" w:cs="Times New Roman"/>
          <w:sz w:val="24"/>
          <w:lang w:val="zh-CN"/>
        </w:rPr>
      </w:pPr>
    </w:p>
    <w:p w14:paraId="1896B5B8">
      <w:pPr>
        <w:pStyle w:val="10"/>
      </w:pPr>
    </w:p>
    <w:p w14:paraId="4D673446">
      <w:pPr>
        <w:pStyle w:val="3"/>
        <w:spacing w:line="360" w:lineRule="auto"/>
        <w:jc w:val="center"/>
      </w:pPr>
      <w:bookmarkStart w:id="99" w:name="_Toc2974"/>
      <w:r>
        <w:rPr>
          <w:rFonts w:hint="eastAsia"/>
        </w:rPr>
        <w:t>第五部分磋商及评审</w:t>
      </w:r>
      <w:bookmarkEnd w:id="99"/>
    </w:p>
    <w:p w14:paraId="0B4D3BDF">
      <w:pPr>
        <w:pStyle w:val="4"/>
        <w:spacing w:line="360" w:lineRule="auto"/>
        <w:jc w:val="left"/>
      </w:pPr>
      <w:bookmarkStart w:id="100" w:name="_Toc31701"/>
      <w:r>
        <w:rPr>
          <w:rFonts w:hint="eastAsia"/>
        </w:rPr>
        <w:t>一、磋商小组职责</w:t>
      </w:r>
      <w:bookmarkEnd w:id="100"/>
    </w:p>
    <w:p w14:paraId="2CFE96B5">
      <w:pPr>
        <w:spacing w:line="264" w:lineRule="auto"/>
        <w:rPr>
          <w:rFonts w:ascii="Arial"/>
        </w:rPr>
      </w:pPr>
    </w:p>
    <w:p w14:paraId="3DE8562D">
      <w:pPr>
        <w:widowControl/>
        <w:spacing w:line="360" w:lineRule="auto"/>
        <w:ind w:firstLine="480" w:firstLineChars="200"/>
        <w:rPr>
          <w:rFonts w:ascii="Times New Roman" w:hAnsi="Times New Roman" w:cs="Times New Roman"/>
          <w:iCs/>
          <w:sz w:val="24"/>
        </w:rPr>
      </w:pPr>
      <w:r>
        <w:rPr>
          <w:rFonts w:hint="eastAsia" w:ascii="Times New Roman" w:hAnsi="Times New Roman" w:cs="Times New Roman"/>
          <w:iCs/>
          <w:sz w:val="24"/>
        </w:rPr>
        <w:t>1.1熟悉和理解磋商文件，如磋商文件内容违反国家有关强制性规定的，磋商小组应当停止评审并向采购人或者采购代理机构说明情况。</w:t>
      </w:r>
    </w:p>
    <w:p w14:paraId="153ECD93">
      <w:pPr>
        <w:widowControl/>
        <w:spacing w:line="360" w:lineRule="auto"/>
        <w:ind w:firstLine="480" w:firstLineChars="200"/>
        <w:rPr>
          <w:rFonts w:ascii="Times New Roman" w:hAnsi="Times New Roman" w:cs="Times New Roman"/>
          <w:iCs/>
          <w:sz w:val="24"/>
        </w:rPr>
      </w:pPr>
      <w:r>
        <w:rPr>
          <w:rFonts w:hint="eastAsia" w:ascii="Times New Roman" w:hAnsi="Times New Roman" w:cs="Times New Roman"/>
          <w:iCs/>
          <w:sz w:val="24"/>
        </w:rPr>
        <w:t>1.2按照客观、公正、审慎的原则，根据磋商文件规定的评审程序、评审方法和评审标准进行独立评审。</w:t>
      </w:r>
    </w:p>
    <w:p w14:paraId="25612FFC">
      <w:pPr>
        <w:widowControl/>
        <w:spacing w:line="360" w:lineRule="auto"/>
        <w:ind w:firstLine="480" w:firstLineChars="200"/>
        <w:rPr>
          <w:rFonts w:ascii="Times New Roman" w:hAnsi="Times New Roman" w:cs="Times New Roman"/>
          <w:iCs/>
          <w:sz w:val="24"/>
        </w:rPr>
      </w:pPr>
      <w:r>
        <w:rPr>
          <w:rFonts w:hint="eastAsia" w:ascii="Times New Roman" w:hAnsi="Times New Roman" w:cs="Times New Roman"/>
          <w:iCs/>
          <w:sz w:val="24"/>
        </w:rPr>
        <w:t>1.3起草评审报告并进行签署。</w:t>
      </w:r>
    </w:p>
    <w:p w14:paraId="1C7A9723">
      <w:pPr>
        <w:widowControl/>
        <w:spacing w:line="360" w:lineRule="auto"/>
        <w:ind w:firstLine="480" w:firstLineChars="200"/>
        <w:rPr>
          <w:rFonts w:ascii="Times New Roman" w:hAnsi="Times New Roman" w:cs="Times New Roman"/>
          <w:iCs/>
          <w:sz w:val="24"/>
        </w:rPr>
      </w:pPr>
      <w:r>
        <w:rPr>
          <w:rFonts w:hint="eastAsia" w:ascii="Times New Roman" w:hAnsi="Times New Roman" w:cs="Times New Roman"/>
          <w:iCs/>
          <w:sz w:val="24"/>
        </w:rPr>
        <w:t>1.4推荐成交供应商。</w:t>
      </w:r>
    </w:p>
    <w:p w14:paraId="2604E339">
      <w:pPr>
        <w:widowControl/>
        <w:spacing w:line="360" w:lineRule="auto"/>
        <w:ind w:firstLine="480" w:firstLineChars="200"/>
        <w:rPr>
          <w:rFonts w:ascii="Times New Roman" w:hAnsi="Times New Roman" w:cs="Times New Roman"/>
          <w:iCs/>
          <w:sz w:val="24"/>
        </w:rPr>
      </w:pPr>
      <w:r>
        <w:rPr>
          <w:rFonts w:hint="eastAsia" w:ascii="Times New Roman" w:hAnsi="Times New Roman" w:cs="Times New Roman"/>
          <w:iCs/>
          <w:sz w:val="24"/>
        </w:rPr>
        <w:t>1.5向采购人、采购代理机构、财政部门或者其他监督部门报告非法干预评审工作的行为。</w:t>
      </w:r>
    </w:p>
    <w:p w14:paraId="248DBC74">
      <w:pPr>
        <w:widowControl/>
        <w:spacing w:line="360" w:lineRule="auto"/>
        <w:ind w:firstLine="480" w:firstLineChars="200"/>
        <w:rPr>
          <w:rFonts w:ascii="Times New Roman" w:hAnsi="Times New Roman" w:cs="Times New Roman"/>
          <w:iCs/>
          <w:sz w:val="24"/>
        </w:rPr>
      </w:pPr>
      <w:r>
        <w:rPr>
          <w:rFonts w:hint="eastAsia" w:ascii="Times New Roman" w:hAnsi="Times New Roman" w:cs="Times New Roman"/>
          <w:iCs/>
          <w:sz w:val="24"/>
        </w:rPr>
        <w:t>1.6法律、法规和规章规定的其他职责。</w:t>
      </w:r>
    </w:p>
    <w:p w14:paraId="6C837133">
      <w:pPr>
        <w:spacing w:line="304" w:lineRule="auto"/>
        <w:rPr>
          <w:rFonts w:ascii="Arial"/>
        </w:rPr>
      </w:pPr>
    </w:p>
    <w:p w14:paraId="099AA12D">
      <w:pPr>
        <w:pStyle w:val="4"/>
        <w:spacing w:line="360" w:lineRule="auto"/>
        <w:jc w:val="left"/>
      </w:pPr>
      <w:bookmarkStart w:id="101" w:name="_Toc27944"/>
      <w:r>
        <w:rPr>
          <w:rFonts w:hint="eastAsia"/>
        </w:rPr>
        <w:t>二、磋商及评审程序</w:t>
      </w:r>
      <w:bookmarkEnd w:id="101"/>
    </w:p>
    <w:p w14:paraId="0C25E157">
      <w:pPr>
        <w:spacing w:line="265" w:lineRule="auto"/>
        <w:rPr>
          <w:rFonts w:ascii="Arial"/>
        </w:rPr>
      </w:pPr>
    </w:p>
    <w:p w14:paraId="24427D9B">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2.1磋商组织方按磋商小组名单核对身份并签到。</w:t>
      </w:r>
    </w:p>
    <w:p w14:paraId="25D96339">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2.2磋商组织方宣布磋商及评审纪律，磋商小组确认有无回避的情形。</w:t>
      </w:r>
    </w:p>
    <w:p w14:paraId="1FC0593A">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2.3磋商小组推选组长，负责组织磋商及评审活动，采购人代表不得担任组长。</w:t>
      </w:r>
    </w:p>
    <w:p w14:paraId="312BBF8B">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2.4磋商小组正式评审前，应当对磋商文件进行熟悉和理解，审查磋商文件。</w:t>
      </w:r>
    </w:p>
    <w:p w14:paraId="765FF72F">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2.5磋商小组将对供应商进行资格审查，对首次响应文件进行有效性、完整性和响应程度审查。未通过审查的供应商不得参与磋商，磋商小组应书面告知供应商并说明理由。</w:t>
      </w:r>
    </w:p>
    <w:p w14:paraId="5A9AAF0C">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p>
    <w:p w14:paraId="7B3A4BA1">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2.7磋商小组应集中与符合要求的单一供应商分别进行磋商，并给予所有参加磋商的供应商平等的磋商机会。</w:t>
      </w:r>
    </w:p>
    <w:p w14:paraId="06744B64">
      <w:pPr>
        <w:spacing w:line="360" w:lineRule="auto"/>
        <w:ind w:firstLine="480" w:firstLineChars="200"/>
        <w:rPr>
          <w:rFonts w:ascii="Times New Roman" w:hAnsi="Times New Roman" w:eastAsia="宋体" w:cs="Times New Roman"/>
          <w:sz w:val="24"/>
        </w:rPr>
      </w:pPr>
      <w:bookmarkStart w:id="102" w:name="_bookmark63"/>
      <w:bookmarkEnd w:id="102"/>
      <w:r>
        <w:rPr>
          <w:rFonts w:ascii="Times New Roman" w:hAnsi="Times New Roman" w:eastAsia="宋体" w:cs="Times New Roman"/>
          <w:sz w:val="24"/>
        </w:rPr>
        <w:t>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367CDE05">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2.9磋商文件能够详细列明采购标的的技术、服务要求的，磋商结束后，磋商小组应要</w:t>
      </w:r>
    </w:p>
    <w:p w14:paraId="6F5E4379">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求所有实质性响应的供应商在规定时间内提交最后报价。</w:t>
      </w:r>
    </w:p>
    <w:p w14:paraId="0E4F7B1C">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磋商文件不能详细列明采购标的的技术、服务要求，需经磋商由供应商提供最终设计方案或解决方案的，磋商结束后，磋商小组应按照少数服从多数的原则投票推荐三家及以</w:t>
      </w:r>
    </w:p>
    <w:p w14:paraId="1A32A848">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上供应商的设计方案或者解决方案，并要求其在规定时间内提交最后报价。</w:t>
      </w:r>
    </w:p>
    <w:p w14:paraId="246E9418">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符合磋商文件供应商须知规定情形的，提交最后报价的供应商可以为2家。</w:t>
      </w:r>
    </w:p>
    <w:p w14:paraId="41343090">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2.10经磋商确定最终采购需求和提交最后报价的供应商后，磋商小组应对提交最后报</w:t>
      </w:r>
    </w:p>
    <w:p w14:paraId="0A37E7F9">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价的供应商的响应文件和最后报价进行评审。</w:t>
      </w:r>
    </w:p>
    <w:p w14:paraId="1DCADEE7">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2.11磋商小组对磋商供应商得分按照从高到低进行排序，得分相同的磋商供应商，报</w:t>
      </w:r>
    </w:p>
    <w:p w14:paraId="0AD5F42D">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价低者排名在前，评审得分且最后报价相同的，按技术指标优劣顺序排列。</w:t>
      </w:r>
    </w:p>
    <w:p w14:paraId="4C0F7FDA">
      <w:pPr>
        <w:spacing w:line="360" w:lineRule="auto"/>
        <w:ind w:firstLine="480" w:firstLineChars="200"/>
        <w:rPr>
          <w:rFonts w:ascii="Arial"/>
        </w:rPr>
      </w:pPr>
      <w:r>
        <w:rPr>
          <w:rFonts w:ascii="Times New Roman" w:hAnsi="Times New Roman" w:eastAsia="宋体" w:cs="Times New Roman"/>
          <w:sz w:val="24"/>
        </w:rPr>
        <w:t>2.12推荐成交候选供应商，并出具书面评审报告。</w:t>
      </w:r>
    </w:p>
    <w:p w14:paraId="2998EC89">
      <w:pPr>
        <w:pStyle w:val="4"/>
        <w:spacing w:line="360" w:lineRule="auto"/>
        <w:jc w:val="left"/>
        <w:rPr>
          <w:rFonts w:ascii="宋体" w:hAnsi="宋体" w:eastAsia="宋体" w:cs="宋体"/>
          <w:spacing w:val="-2"/>
          <w:sz w:val="24"/>
          <w:highlight w:val="none"/>
        </w:rPr>
      </w:pPr>
      <w:bookmarkStart w:id="103" w:name="_Toc1725"/>
      <w:r>
        <w:rPr>
          <w:rFonts w:hint="eastAsia"/>
          <w:highlight w:val="none"/>
        </w:rPr>
        <w:t>三、供应商资格审查</w:t>
      </w:r>
      <w:bookmarkEnd w:id="103"/>
    </w:p>
    <w:p w14:paraId="6AB6FA77">
      <w:pPr>
        <w:spacing w:before="79" w:line="219" w:lineRule="auto"/>
        <w:ind w:left="604"/>
        <w:rPr>
          <w:rFonts w:ascii="宋体" w:hAnsi="宋体" w:eastAsia="宋体" w:cs="宋体"/>
          <w:sz w:val="24"/>
        </w:rPr>
      </w:pPr>
      <w:r>
        <w:rPr>
          <w:rFonts w:ascii="宋体" w:hAnsi="宋体" w:eastAsia="宋体" w:cs="宋体"/>
          <w:spacing w:val="-2"/>
          <w:sz w:val="24"/>
        </w:rPr>
        <w:t>开启结束后，磋商小组将依法对供应商的资格进行审查。资格审查的内容如下：</w:t>
      </w:r>
    </w:p>
    <w:p w14:paraId="08B39800"/>
    <w:p w14:paraId="6CDAF9A3">
      <w:pPr>
        <w:spacing w:line="140" w:lineRule="exact"/>
      </w:pPr>
    </w:p>
    <w:tbl>
      <w:tblPr>
        <w:tblStyle w:val="19"/>
        <w:tblW w:w="95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4"/>
        <w:gridCol w:w="2577"/>
        <w:gridCol w:w="6488"/>
      </w:tblGrid>
      <w:tr w14:paraId="03120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atLeast"/>
        </w:trPr>
        <w:tc>
          <w:tcPr>
            <w:tcW w:w="494" w:type="dxa"/>
            <w:textDirection w:val="tbRlV"/>
            <w:vAlign w:val="center"/>
          </w:tcPr>
          <w:p w14:paraId="27A7C08D">
            <w:pPr>
              <w:spacing w:before="149" w:line="217" w:lineRule="auto"/>
              <w:ind w:left="194"/>
              <w:jc w:val="center"/>
              <w:rPr>
                <w:rFonts w:ascii="宋体" w:hAnsi="宋体" w:eastAsia="宋体" w:cs="宋体"/>
                <w:sz w:val="20"/>
                <w:szCs w:val="20"/>
              </w:rPr>
            </w:pPr>
            <w:r>
              <w:rPr>
                <w:rFonts w:ascii="宋体" w:hAnsi="宋体" w:eastAsia="宋体" w:cs="宋体"/>
                <w:spacing w:val="8"/>
                <w:sz w:val="20"/>
                <w:szCs w:val="20"/>
              </w:rPr>
              <w:t>序号</w:t>
            </w:r>
          </w:p>
        </w:tc>
        <w:tc>
          <w:tcPr>
            <w:tcW w:w="2577" w:type="dxa"/>
            <w:vAlign w:val="center"/>
          </w:tcPr>
          <w:p w14:paraId="6992AF12">
            <w:pPr>
              <w:spacing w:before="65" w:line="219" w:lineRule="auto"/>
              <w:jc w:val="center"/>
              <w:rPr>
                <w:rFonts w:ascii="宋体" w:hAnsi="宋体" w:eastAsia="宋体" w:cs="宋体"/>
                <w:sz w:val="20"/>
                <w:szCs w:val="20"/>
              </w:rPr>
            </w:pPr>
            <w:r>
              <w:rPr>
                <w:rFonts w:ascii="宋体" w:hAnsi="宋体" w:eastAsia="宋体" w:cs="宋体"/>
                <w:spacing w:val="2"/>
                <w:sz w:val="20"/>
                <w:szCs w:val="20"/>
              </w:rPr>
              <w:t>审查要素</w:t>
            </w:r>
          </w:p>
        </w:tc>
        <w:tc>
          <w:tcPr>
            <w:tcW w:w="6488" w:type="dxa"/>
            <w:vAlign w:val="center"/>
          </w:tcPr>
          <w:p w14:paraId="3B533B2D">
            <w:pPr>
              <w:spacing w:before="65" w:line="219" w:lineRule="auto"/>
              <w:jc w:val="center"/>
              <w:rPr>
                <w:rFonts w:ascii="宋体" w:hAnsi="宋体" w:eastAsia="宋体" w:cs="宋体"/>
                <w:sz w:val="20"/>
                <w:szCs w:val="20"/>
              </w:rPr>
            </w:pPr>
            <w:r>
              <w:rPr>
                <w:rFonts w:ascii="宋体" w:hAnsi="宋体" w:eastAsia="宋体" w:cs="宋体"/>
                <w:spacing w:val="7"/>
                <w:sz w:val="20"/>
                <w:szCs w:val="20"/>
              </w:rPr>
              <w:t>审查内容</w:t>
            </w:r>
          </w:p>
        </w:tc>
      </w:tr>
      <w:tr w14:paraId="38EEA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atLeast"/>
        </w:trPr>
        <w:tc>
          <w:tcPr>
            <w:tcW w:w="494" w:type="dxa"/>
            <w:vAlign w:val="center"/>
          </w:tcPr>
          <w:p w14:paraId="66AD4278">
            <w:pPr>
              <w:spacing w:before="65" w:line="184" w:lineRule="auto"/>
              <w:ind w:left="185"/>
              <w:jc w:val="center"/>
              <w:rPr>
                <w:rFonts w:ascii="宋体" w:hAnsi="宋体" w:eastAsia="宋体" w:cs="宋体"/>
                <w:sz w:val="24"/>
              </w:rPr>
            </w:pPr>
            <w:r>
              <w:rPr>
                <w:rFonts w:hint="eastAsia" w:ascii="宋体" w:hAnsi="宋体" w:eastAsia="宋体" w:cs="宋体"/>
                <w:sz w:val="24"/>
              </w:rPr>
              <w:t>1</w:t>
            </w:r>
          </w:p>
        </w:tc>
        <w:tc>
          <w:tcPr>
            <w:tcW w:w="2577" w:type="dxa"/>
            <w:vAlign w:val="center"/>
          </w:tcPr>
          <w:p w14:paraId="1FDBDBBA">
            <w:pPr>
              <w:spacing w:line="249" w:lineRule="auto"/>
              <w:jc w:val="center"/>
              <w:rPr>
                <w:rFonts w:ascii="宋体" w:hAnsi="宋体" w:eastAsia="宋体" w:cs="宋体"/>
                <w:sz w:val="24"/>
              </w:rPr>
            </w:pPr>
            <w:r>
              <w:rPr>
                <w:rFonts w:hint="eastAsia" w:ascii="宋体" w:hAnsi="宋体" w:eastAsia="宋体" w:cs="宋体"/>
                <w:sz w:val="24"/>
              </w:rPr>
              <w:t>具有独立承担民事责任的能力</w:t>
            </w:r>
          </w:p>
        </w:tc>
        <w:tc>
          <w:tcPr>
            <w:tcW w:w="6488" w:type="dxa"/>
            <w:vAlign w:val="center"/>
          </w:tcPr>
          <w:p w14:paraId="508928CA">
            <w:pPr>
              <w:jc w:val="center"/>
              <w:rPr>
                <w:rFonts w:ascii="宋体" w:hAnsi="宋体" w:eastAsia="宋体" w:cs="宋体"/>
                <w:sz w:val="24"/>
              </w:rPr>
            </w:pPr>
            <w:r>
              <w:rPr>
                <w:rFonts w:hint="eastAsia" w:ascii="宋体" w:hAnsi="宋体" w:eastAsia="宋体" w:cs="宋体"/>
                <w:sz w:val="24"/>
              </w:rPr>
              <w:t>提供法人或者其他组织的营业执照等证明文件，自然人的身份证明</w:t>
            </w:r>
          </w:p>
        </w:tc>
      </w:tr>
      <w:tr w14:paraId="456C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atLeast"/>
        </w:trPr>
        <w:tc>
          <w:tcPr>
            <w:tcW w:w="494" w:type="dxa"/>
            <w:vAlign w:val="center"/>
          </w:tcPr>
          <w:p w14:paraId="37585E75">
            <w:pPr>
              <w:spacing w:before="65" w:line="183" w:lineRule="auto"/>
              <w:ind w:left="185"/>
              <w:jc w:val="center"/>
              <w:rPr>
                <w:rFonts w:ascii="宋体" w:hAnsi="宋体" w:eastAsia="宋体" w:cs="宋体"/>
                <w:sz w:val="24"/>
              </w:rPr>
            </w:pPr>
            <w:r>
              <w:rPr>
                <w:rFonts w:hint="eastAsia" w:ascii="宋体" w:hAnsi="宋体" w:eastAsia="宋体" w:cs="宋体"/>
                <w:sz w:val="24"/>
              </w:rPr>
              <w:t>2</w:t>
            </w:r>
          </w:p>
        </w:tc>
        <w:tc>
          <w:tcPr>
            <w:tcW w:w="2577" w:type="dxa"/>
            <w:vAlign w:val="center"/>
          </w:tcPr>
          <w:p w14:paraId="542C7815">
            <w:pPr>
              <w:spacing w:line="249" w:lineRule="auto"/>
              <w:jc w:val="center"/>
              <w:rPr>
                <w:rFonts w:ascii="宋体" w:hAnsi="宋体" w:eastAsia="宋体" w:cs="宋体"/>
                <w:sz w:val="24"/>
              </w:rPr>
            </w:pPr>
            <w:r>
              <w:rPr>
                <w:rFonts w:hint="eastAsia" w:ascii="宋体" w:hAnsi="宋体" w:eastAsia="宋体" w:cs="宋体"/>
                <w:sz w:val="24"/>
              </w:rPr>
              <w:t>具有良好的商业信誉和健全的财务会计制度</w:t>
            </w:r>
          </w:p>
        </w:tc>
        <w:tc>
          <w:tcPr>
            <w:tcW w:w="6488" w:type="dxa"/>
            <w:vAlign w:val="center"/>
          </w:tcPr>
          <w:p w14:paraId="4907A5B4">
            <w:pPr>
              <w:jc w:val="center"/>
              <w:rPr>
                <w:rFonts w:ascii="宋体" w:hAnsi="宋体" w:eastAsia="宋体" w:cs="宋体"/>
                <w:sz w:val="24"/>
              </w:rPr>
            </w:pPr>
            <w:r>
              <w:rPr>
                <w:rFonts w:hint="eastAsia" w:ascii="宋体" w:hAnsi="宋体" w:eastAsia="宋体" w:cs="宋体"/>
                <w:sz w:val="24"/>
              </w:rPr>
              <w:t>提供202</w:t>
            </w:r>
            <w:r>
              <w:rPr>
                <w:rFonts w:hint="eastAsia" w:ascii="宋体" w:hAnsi="宋体" w:eastAsia="宋体" w:cs="宋体"/>
                <w:sz w:val="24"/>
                <w:lang w:val="en-US" w:eastAsia="zh-CN"/>
              </w:rPr>
              <w:t>5</w:t>
            </w:r>
            <w:r>
              <w:rPr>
                <w:rFonts w:hint="eastAsia" w:ascii="宋体" w:hAnsi="宋体" w:eastAsia="宋体" w:cs="宋体"/>
                <w:sz w:val="24"/>
              </w:rPr>
              <w:t>年度财务报告(成立不满一年的提供至少一个月)，或银行出具的资信证明，或财政部门认可的政府采购专业担保机构出具的谈判担保函等，或提供资格承诺函</w:t>
            </w:r>
          </w:p>
        </w:tc>
      </w:tr>
      <w:tr w14:paraId="341AB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8" w:hRule="atLeast"/>
        </w:trPr>
        <w:tc>
          <w:tcPr>
            <w:tcW w:w="494" w:type="dxa"/>
            <w:vAlign w:val="center"/>
          </w:tcPr>
          <w:p w14:paraId="7A68A951">
            <w:pPr>
              <w:spacing w:before="65" w:line="183" w:lineRule="auto"/>
              <w:ind w:left="185"/>
              <w:jc w:val="center"/>
              <w:rPr>
                <w:rFonts w:ascii="宋体" w:hAnsi="宋体" w:eastAsia="宋体" w:cs="宋体"/>
                <w:sz w:val="24"/>
              </w:rPr>
            </w:pPr>
            <w:r>
              <w:rPr>
                <w:rFonts w:hint="eastAsia" w:ascii="宋体" w:hAnsi="宋体" w:eastAsia="宋体" w:cs="宋体"/>
                <w:sz w:val="24"/>
              </w:rPr>
              <w:t>3</w:t>
            </w:r>
          </w:p>
        </w:tc>
        <w:tc>
          <w:tcPr>
            <w:tcW w:w="2577" w:type="dxa"/>
            <w:vAlign w:val="center"/>
          </w:tcPr>
          <w:p w14:paraId="1C347779">
            <w:pPr>
              <w:spacing w:line="249" w:lineRule="auto"/>
              <w:jc w:val="center"/>
              <w:rPr>
                <w:rFonts w:ascii="宋体" w:hAnsi="宋体" w:eastAsia="宋体" w:cs="宋体"/>
                <w:sz w:val="24"/>
              </w:rPr>
            </w:pPr>
            <w:r>
              <w:rPr>
                <w:rFonts w:hint="eastAsia" w:ascii="宋体" w:hAnsi="宋体" w:eastAsia="宋体" w:cs="宋体"/>
                <w:sz w:val="24"/>
              </w:rPr>
              <w:t>具有履行合同所必需的设备和专业技术能力</w:t>
            </w:r>
          </w:p>
        </w:tc>
        <w:tc>
          <w:tcPr>
            <w:tcW w:w="6488" w:type="dxa"/>
            <w:vAlign w:val="center"/>
          </w:tcPr>
          <w:p w14:paraId="23D817ED">
            <w:pPr>
              <w:jc w:val="center"/>
              <w:rPr>
                <w:rFonts w:ascii="宋体" w:hAnsi="宋体" w:eastAsia="宋体" w:cs="宋体"/>
                <w:sz w:val="24"/>
              </w:rPr>
            </w:pPr>
            <w:r>
              <w:rPr>
                <w:rFonts w:hint="eastAsia" w:ascii="宋体" w:hAnsi="宋体" w:eastAsia="宋体" w:cs="宋体"/>
                <w:sz w:val="24"/>
              </w:rPr>
              <w:t>提供资格承诺函</w:t>
            </w:r>
          </w:p>
        </w:tc>
      </w:tr>
      <w:tr w14:paraId="5AD8D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494" w:type="dxa"/>
            <w:vAlign w:val="center"/>
          </w:tcPr>
          <w:p w14:paraId="7FEDC417">
            <w:pPr>
              <w:spacing w:before="66" w:line="183" w:lineRule="auto"/>
              <w:ind w:left="185"/>
              <w:jc w:val="center"/>
              <w:rPr>
                <w:rFonts w:ascii="宋体" w:hAnsi="宋体" w:eastAsia="宋体" w:cs="宋体"/>
                <w:sz w:val="24"/>
              </w:rPr>
            </w:pPr>
            <w:r>
              <w:rPr>
                <w:rFonts w:hint="eastAsia" w:ascii="宋体" w:hAnsi="宋体" w:eastAsia="宋体" w:cs="宋体"/>
                <w:sz w:val="24"/>
              </w:rPr>
              <w:t>4</w:t>
            </w:r>
          </w:p>
        </w:tc>
        <w:tc>
          <w:tcPr>
            <w:tcW w:w="2577" w:type="dxa"/>
            <w:vAlign w:val="center"/>
          </w:tcPr>
          <w:p w14:paraId="5F889A0B">
            <w:pPr>
              <w:spacing w:line="249" w:lineRule="auto"/>
              <w:jc w:val="center"/>
              <w:rPr>
                <w:rFonts w:ascii="宋体" w:hAnsi="宋体" w:eastAsia="宋体" w:cs="宋体"/>
                <w:sz w:val="24"/>
              </w:rPr>
            </w:pPr>
            <w:r>
              <w:rPr>
                <w:rFonts w:hint="eastAsia" w:ascii="宋体" w:hAnsi="宋体" w:eastAsia="宋体" w:cs="宋体"/>
                <w:sz w:val="24"/>
              </w:rPr>
              <w:t>有依法缴纳税收和社会保障资金的良好记录</w:t>
            </w:r>
          </w:p>
        </w:tc>
        <w:tc>
          <w:tcPr>
            <w:tcW w:w="6488" w:type="dxa"/>
            <w:vAlign w:val="center"/>
          </w:tcPr>
          <w:p w14:paraId="168A8339">
            <w:pPr>
              <w:jc w:val="center"/>
              <w:rPr>
                <w:rFonts w:ascii="宋体" w:hAnsi="宋体" w:eastAsia="宋体" w:cs="宋体"/>
                <w:sz w:val="24"/>
              </w:rPr>
            </w:pPr>
            <w:r>
              <w:rPr>
                <w:rFonts w:hint="eastAsia" w:ascii="宋体" w:hAnsi="宋体" w:eastAsia="宋体" w:cs="宋体"/>
                <w:sz w:val="24"/>
              </w:rPr>
              <w:t>提供参加本次政府采购活动前半年内(至少一个月) 依法缴纳税收和社会保障资金的相关材料,或提供资格承诺函</w:t>
            </w:r>
          </w:p>
        </w:tc>
      </w:tr>
      <w:tr w14:paraId="23A70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494" w:type="dxa"/>
            <w:vAlign w:val="center"/>
          </w:tcPr>
          <w:p w14:paraId="4B0CE288">
            <w:pPr>
              <w:spacing w:before="65" w:line="182" w:lineRule="auto"/>
              <w:ind w:left="185"/>
              <w:jc w:val="center"/>
              <w:rPr>
                <w:rFonts w:ascii="宋体" w:hAnsi="宋体" w:eastAsia="宋体" w:cs="宋体"/>
                <w:sz w:val="24"/>
              </w:rPr>
            </w:pPr>
            <w:r>
              <w:rPr>
                <w:rFonts w:hint="eastAsia" w:ascii="宋体" w:hAnsi="宋体" w:eastAsia="宋体" w:cs="宋体"/>
                <w:sz w:val="24"/>
              </w:rPr>
              <w:t>5</w:t>
            </w:r>
          </w:p>
        </w:tc>
        <w:tc>
          <w:tcPr>
            <w:tcW w:w="2577" w:type="dxa"/>
            <w:vAlign w:val="center"/>
          </w:tcPr>
          <w:p w14:paraId="3941226B">
            <w:pPr>
              <w:spacing w:line="249" w:lineRule="auto"/>
              <w:jc w:val="center"/>
              <w:rPr>
                <w:rFonts w:ascii="宋体" w:hAnsi="宋体" w:eastAsia="宋体" w:cs="宋体"/>
                <w:sz w:val="24"/>
              </w:rPr>
            </w:pPr>
            <w:r>
              <w:rPr>
                <w:rFonts w:hint="eastAsia" w:ascii="宋体" w:hAnsi="宋体" w:eastAsia="宋体" w:cs="宋体"/>
                <w:sz w:val="24"/>
              </w:rPr>
              <w:t>参加政府采购活动前三年内，在经营活动中没有重大违法记录</w:t>
            </w:r>
          </w:p>
        </w:tc>
        <w:tc>
          <w:tcPr>
            <w:tcW w:w="6488" w:type="dxa"/>
            <w:vAlign w:val="center"/>
          </w:tcPr>
          <w:p w14:paraId="12D22A22">
            <w:pPr>
              <w:jc w:val="center"/>
              <w:rPr>
                <w:rFonts w:ascii="宋体" w:hAnsi="宋体" w:eastAsia="宋体" w:cs="宋体"/>
                <w:sz w:val="24"/>
              </w:rPr>
            </w:pPr>
            <w:r>
              <w:rPr>
                <w:rFonts w:hint="eastAsia" w:ascii="宋体" w:hAnsi="宋体" w:eastAsia="宋体" w:cs="宋体"/>
                <w:sz w:val="24"/>
              </w:rPr>
              <w:t>提供资格承诺函</w:t>
            </w:r>
          </w:p>
        </w:tc>
      </w:tr>
      <w:tr w14:paraId="0FBBC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494" w:type="dxa"/>
            <w:vAlign w:val="center"/>
          </w:tcPr>
          <w:p w14:paraId="594C00E3">
            <w:pPr>
              <w:spacing w:before="65" w:line="182" w:lineRule="auto"/>
              <w:ind w:left="185"/>
              <w:jc w:val="center"/>
              <w:rPr>
                <w:rFonts w:ascii="宋体" w:hAnsi="宋体" w:eastAsia="宋体" w:cs="宋体"/>
                <w:sz w:val="24"/>
              </w:rPr>
            </w:pPr>
            <w:r>
              <w:rPr>
                <w:rFonts w:hint="eastAsia" w:ascii="宋体" w:hAnsi="宋体" w:eastAsia="宋体" w:cs="宋体"/>
                <w:sz w:val="24"/>
              </w:rPr>
              <w:t>6</w:t>
            </w:r>
          </w:p>
        </w:tc>
        <w:tc>
          <w:tcPr>
            <w:tcW w:w="2577" w:type="dxa"/>
            <w:vAlign w:val="center"/>
          </w:tcPr>
          <w:p w14:paraId="53CAE8DE">
            <w:pPr>
              <w:spacing w:line="249" w:lineRule="auto"/>
              <w:jc w:val="center"/>
              <w:rPr>
                <w:rFonts w:ascii="宋体" w:hAnsi="宋体" w:eastAsia="宋体" w:cs="宋体"/>
                <w:sz w:val="24"/>
              </w:rPr>
            </w:pPr>
            <w:r>
              <w:rPr>
                <w:rFonts w:hint="eastAsia" w:ascii="宋体" w:hAnsi="宋体" w:eastAsia="宋体" w:cs="宋体"/>
                <w:sz w:val="24"/>
              </w:rPr>
              <w:t>法律、行政法规规定的其他条件</w:t>
            </w:r>
          </w:p>
        </w:tc>
        <w:tc>
          <w:tcPr>
            <w:tcW w:w="6488" w:type="dxa"/>
            <w:vAlign w:val="center"/>
          </w:tcPr>
          <w:p w14:paraId="2A5475C6">
            <w:pPr>
              <w:jc w:val="center"/>
              <w:rPr>
                <w:rFonts w:ascii="宋体" w:hAnsi="宋体" w:eastAsia="宋体" w:cs="宋体"/>
                <w:sz w:val="24"/>
              </w:rPr>
            </w:pPr>
            <w:r>
              <w:rPr>
                <w:rFonts w:hint="eastAsia" w:ascii="宋体" w:hAnsi="宋体" w:eastAsia="宋体" w:cs="宋体"/>
                <w:sz w:val="24"/>
              </w:rPr>
              <w:t>“信用中国”网站(www.creditchina.gov.cn)、或中国政府采购网</w:t>
            </w:r>
          </w:p>
          <w:p w14:paraId="053700B4">
            <w:pPr>
              <w:jc w:val="center"/>
              <w:rPr>
                <w:rFonts w:ascii="宋体" w:hAnsi="宋体" w:eastAsia="宋体" w:cs="宋体"/>
                <w:sz w:val="24"/>
              </w:rPr>
            </w:pPr>
            <w:r>
              <w:rPr>
                <w:rFonts w:hint="eastAsia" w:ascii="宋体" w:hAnsi="宋体" w:eastAsia="宋体" w:cs="宋体"/>
                <w:sz w:val="24"/>
              </w:rPr>
              <w:t>(www.ccgp.gov.cn)、或"信用江苏"网站(</w:t>
            </w:r>
            <w:r>
              <w:fldChar w:fldCharType="begin"/>
            </w:r>
            <w:r>
              <w:instrText xml:space="preserve"> HYPERLINK "http://credit.jiangsu.gov.cn/" </w:instrText>
            </w:r>
            <w:r>
              <w:fldChar w:fldCharType="separate"/>
            </w:r>
            <w:r>
              <w:rPr>
                <w:rFonts w:hint="eastAsia" w:ascii="宋体" w:hAnsi="宋体" w:eastAsia="宋体" w:cs="宋体"/>
                <w:sz w:val="24"/>
              </w:rPr>
              <w:t>http://credit.jiangsu.gov.cn/</w:t>
            </w:r>
            <w:r>
              <w:rPr>
                <w:rFonts w:hint="eastAsia" w:ascii="宋体" w:hAnsi="宋体" w:eastAsia="宋体" w:cs="宋体"/>
                <w:sz w:val="24"/>
              </w:rPr>
              <w:fldChar w:fldCharType="end"/>
            </w:r>
            <w:r>
              <w:rPr>
                <w:rFonts w:hint="eastAsia" w:ascii="宋体" w:hAnsi="宋体" w:eastAsia="宋体" w:cs="宋体"/>
                <w:sz w:val="24"/>
              </w:rPr>
              <w:t>)</w:t>
            </w:r>
          </w:p>
          <w:p w14:paraId="2A22AFB7">
            <w:pPr>
              <w:jc w:val="center"/>
              <w:rPr>
                <w:rFonts w:ascii="宋体" w:hAnsi="宋体" w:eastAsia="宋体" w:cs="宋体"/>
                <w:sz w:val="24"/>
              </w:rPr>
            </w:pPr>
            <w:r>
              <w:rPr>
                <w:rFonts w:hint="eastAsia" w:ascii="宋体" w:hAnsi="宋体" w:eastAsia="宋体" w:cs="宋体"/>
                <w:sz w:val="24"/>
              </w:rPr>
              <w:t>的查询结果未列入失信被执行人名单、重大税收违法案件当事人名单、政府采购严重违法失信行为名单，以现场查询为准。</w:t>
            </w:r>
          </w:p>
        </w:tc>
      </w:tr>
      <w:tr w14:paraId="727AF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494" w:type="dxa"/>
            <w:vAlign w:val="center"/>
          </w:tcPr>
          <w:p w14:paraId="32C3E506">
            <w:pPr>
              <w:spacing w:before="65" w:line="182" w:lineRule="auto"/>
              <w:ind w:left="185"/>
              <w:jc w:val="center"/>
              <w:rPr>
                <w:rFonts w:ascii="宋体" w:hAnsi="宋体" w:eastAsia="宋体" w:cs="宋体"/>
                <w:sz w:val="24"/>
              </w:rPr>
            </w:pPr>
            <w:r>
              <w:rPr>
                <w:rFonts w:hint="eastAsia" w:ascii="宋体" w:hAnsi="宋体" w:eastAsia="宋体" w:cs="宋体"/>
                <w:sz w:val="24"/>
              </w:rPr>
              <w:t>7</w:t>
            </w:r>
          </w:p>
        </w:tc>
        <w:tc>
          <w:tcPr>
            <w:tcW w:w="2577" w:type="dxa"/>
            <w:vAlign w:val="center"/>
          </w:tcPr>
          <w:p w14:paraId="2035F3A5">
            <w:pPr>
              <w:spacing w:line="249" w:lineRule="auto"/>
              <w:jc w:val="center"/>
              <w:rPr>
                <w:rFonts w:ascii="宋体" w:hAnsi="宋体" w:eastAsia="宋体" w:cs="宋体"/>
                <w:sz w:val="24"/>
              </w:rPr>
            </w:pPr>
            <w:r>
              <w:rPr>
                <w:rFonts w:hint="eastAsia" w:ascii="宋体" w:hAnsi="宋体" w:eastAsia="宋体" w:cs="宋体"/>
                <w:sz w:val="24"/>
              </w:rPr>
              <w:t>落实政府采购政策需满足的资格要求</w:t>
            </w:r>
          </w:p>
        </w:tc>
        <w:tc>
          <w:tcPr>
            <w:tcW w:w="6488" w:type="dxa"/>
            <w:vAlign w:val="center"/>
          </w:tcPr>
          <w:p w14:paraId="50D0B9F6">
            <w:pPr>
              <w:jc w:val="left"/>
              <w:rPr>
                <w:rFonts w:ascii="宋体" w:hAnsi="宋体" w:eastAsia="宋体" w:cs="宋体"/>
                <w:sz w:val="24"/>
              </w:rPr>
            </w:pPr>
            <w:r>
              <w:rPr>
                <w:rFonts w:hint="eastAsia" w:ascii="宋体" w:hAnsi="宋体" w:eastAsia="宋体" w:cs="宋体"/>
                <w:color w:val="0000FF"/>
                <w:sz w:val="24"/>
              </w:rPr>
              <w:t>根据财政部、工业和信息化部关于印发《政府采购促进中小企业发展管理办法》的通知及苏财购【2022】45 号的相关规定，本项目</w:t>
            </w:r>
            <w:r>
              <w:rPr>
                <w:rFonts w:hint="eastAsia" w:ascii="宋体" w:hAnsi="宋体" w:eastAsia="宋体" w:cs="宋体"/>
                <w:b w:val="0"/>
                <w:bCs w:val="0"/>
                <w:color w:val="0000FF"/>
                <w:sz w:val="24"/>
                <w:lang w:val="en-US" w:eastAsia="zh-CN"/>
              </w:rPr>
              <w:t>为</w:t>
            </w:r>
            <w:r>
              <w:rPr>
                <w:rFonts w:hint="eastAsia" w:ascii="宋体" w:hAnsi="宋体" w:eastAsia="宋体" w:cs="宋体"/>
                <w:b/>
                <w:bCs/>
                <w:color w:val="0000FF"/>
                <w:sz w:val="24"/>
                <w:lang w:val="en-US" w:eastAsia="zh-CN"/>
              </w:rPr>
              <w:t>非</w:t>
            </w:r>
            <w:r>
              <w:rPr>
                <w:rFonts w:hint="eastAsia" w:ascii="宋体" w:hAnsi="宋体" w:eastAsia="宋体" w:cs="宋体"/>
                <w:b/>
                <w:bCs/>
                <w:color w:val="0000FF"/>
                <w:sz w:val="24"/>
              </w:rPr>
              <w:t>专门面向中小微企业采购</w:t>
            </w:r>
            <w:r>
              <w:rPr>
                <w:rFonts w:hint="eastAsia" w:ascii="宋体" w:hAnsi="宋体" w:eastAsia="宋体" w:cs="宋体"/>
                <w:color w:val="0000FF"/>
                <w:sz w:val="24"/>
              </w:rPr>
              <w:t>。中小企业划分标准见《工业和信息化部、国家统计局、国家发展和改革委员会、财政部关于印发中小企业划型标准规定的通知》(工信部联企业[2011]300号)(所属行业:</w:t>
            </w:r>
            <w:r>
              <w:rPr>
                <w:rFonts w:hint="eastAsia" w:ascii="宋体" w:hAnsi="宋体" w:eastAsia="宋体" w:cs="宋体"/>
                <w:color w:val="0000FF"/>
                <w:sz w:val="24"/>
                <w:lang w:eastAsia="zh-CN"/>
              </w:rPr>
              <w:t>租赁和商务服务业</w:t>
            </w:r>
            <w:r>
              <w:rPr>
                <w:rFonts w:hint="eastAsia" w:ascii="宋体" w:hAnsi="宋体" w:eastAsia="宋体" w:cs="宋体"/>
                <w:color w:val="0000FF"/>
                <w:sz w:val="24"/>
              </w:rPr>
              <w:t>) 。提供中小企业声明函。</w:t>
            </w:r>
          </w:p>
        </w:tc>
      </w:tr>
      <w:tr w14:paraId="1B5E1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atLeast"/>
        </w:trPr>
        <w:tc>
          <w:tcPr>
            <w:tcW w:w="494" w:type="dxa"/>
            <w:vAlign w:val="center"/>
          </w:tcPr>
          <w:p w14:paraId="18200F1C">
            <w:pPr>
              <w:spacing w:before="65" w:line="182" w:lineRule="auto"/>
              <w:ind w:left="185"/>
              <w:jc w:val="center"/>
              <w:rPr>
                <w:rFonts w:ascii="宋体" w:hAnsi="宋体" w:eastAsia="宋体" w:cs="宋体"/>
                <w:sz w:val="24"/>
              </w:rPr>
            </w:pPr>
            <w:r>
              <w:rPr>
                <w:rFonts w:hint="eastAsia" w:ascii="宋体" w:hAnsi="宋体" w:eastAsia="宋体" w:cs="宋体"/>
                <w:sz w:val="24"/>
              </w:rPr>
              <w:t>8</w:t>
            </w:r>
          </w:p>
        </w:tc>
        <w:tc>
          <w:tcPr>
            <w:tcW w:w="2577" w:type="dxa"/>
            <w:vAlign w:val="center"/>
          </w:tcPr>
          <w:p w14:paraId="532783B2">
            <w:pPr>
              <w:jc w:val="left"/>
              <w:rPr>
                <w:rFonts w:ascii="宋体" w:hAnsi="宋体" w:eastAsia="宋体" w:cs="宋体"/>
                <w:sz w:val="24"/>
              </w:rPr>
            </w:pPr>
            <w:r>
              <w:rPr>
                <w:rFonts w:hint="eastAsia" w:ascii="宋体" w:hAnsi="宋体" w:eastAsia="宋体" w:cs="宋体"/>
                <w:sz w:val="24"/>
              </w:rPr>
              <w:t>本项目的特定资格要求：</w:t>
            </w:r>
          </w:p>
          <w:p w14:paraId="20F05DF8">
            <w:pPr>
              <w:spacing w:line="249" w:lineRule="auto"/>
              <w:jc w:val="left"/>
              <w:rPr>
                <w:rFonts w:ascii="宋体" w:hAnsi="宋体" w:eastAsia="宋体" w:cs="宋体"/>
                <w:sz w:val="24"/>
              </w:rPr>
            </w:pPr>
          </w:p>
        </w:tc>
        <w:tc>
          <w:tcPr>
            <w:tcW w:w="6488" w:type="dxa"/>
            <w:vAlign w:val="center"/>
          </w:tcPr>
          <w:p w14:paraId="10E3264F">
            <w:pPr>
              <w:tabs>
                <w:tab w:val="left" w:pos="7005"/>
              </w:tabs>
              <w:autoSpaceDE w:val="0"/>
              <w:autoSpaceDN w:val="0"/>
              <w:adjustRightInd w:val="0"/>
              <w:spacing w:line="360" w:lineRule="auto"/>
              <w:rPr>
                <w:rFonts w:ascii="宋体" w:hAnsi="宋体" w:eastAsia="宋体" w:cs="宋体"/>
                <w:sz w:val="24"/>
              </w:rPr>
            </w:pPr>
            <w:r>
              <w:rPr>
                <w:rFonts w:hint="eastAsia" w:ascii="宋体" w:hAnsi="宋体" w:eastAsia="宋体"/>
                <w:bCs/>
                <w:color w:val="0000FF"/>
                <w:sz w:val="24"/>
                <w:szCs w:val="24"/>
                <w:highlight w:val="none"/>
                <w:lang w:eastAsia="zh-CN"/>
              </w:rPr>
              <w:t>投标人资质等级及范围：投标人应具有工程勘察（水利工程或市政工程）专业乙级及以上资质；或工程设计（水利行业或市政行业）专业乙级及以上资质；或工程监理（水利水电工程或市政公用工程）专业乙级及以上资质。投标人若同时具备多项资质，可一并提供，但至少应满足其中一项。</w:t>
            </w:r>
            <w:r>
              <w:rPr>
                <w:rFonts w:hint="eastAsia" w:ascii="宋体" w:hAnsi="宋体" w:eastAsia="宋体" w:cs="宋体"/>
                <w:sz w:val="24"/>
                <w:highlight w:val="none"/>
              </w:rPr>
              <w:t xml:space="preserve"> </w:t>
            </w:r>
          </w:p>
        </w:tc>
      </w:tr>
    </w:tbl>
    <w:p w14:paraId="7214CFCB">
      <w:pPr>
        <w:rPr>
          <w:rFonts w:ascii="Arial"/>
        </w:rPr>
      </w:pPr>
    </w:p>
    <w:p w14:paraId="237488C6">
      <w:pPr>
        <w:pStyle w:val="4"/>
        <w:spacing w:line="360" w:lineRule="auto"/>
        <w:jc w:val="left"/>
      </w:pPr>
      <w:bookmarkStart w:id="104" w:name="_Toc5892"/>
      <w:r>
        <w:rPr>
          <w:rFonts w:hint="eastAsia"/>
        </w:rPr>
        <w:t>四、磋商响应文件的有效性、完整性和响应程度审查</w:t>
      </w:r>
      <w:bookmarkEnd w:id="104"/>
    </w:p>
    <w:p w14:paraId="1AA430E7"/>
    <w:p w14:paraId="27F4DC38">
      <w:pPr>
        <w:spacing w:line="61" w:lineRule="exact"/>
      </w:pPr>
    </w:p>
    <w:tbl>
      <w:tblPr>
        <w:tblStyle w:val="19"/>
        <w:tblW w:w="95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4"/>
        <w:gridCol w:w="1228"/>
        <w:gridCol w:w="7817"/>
      </w:tblGrid>
      <w:tr w14:paraId="07A60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2" w:hRule="atLeast"/>
        </w:trPr>
        <w:tc>
          <w:tcPr>
            <w:tcW w:w="514" w:type="dxa"/>
            <w:textDirection w:val="tbRlV"/>
          </w:tcPr>
          <w:p w14:paraId="77B12310">
            <w:pPr>
              <w:jc w:val="center"/>
              <w:rPr>
                <w:rFonts w:ascii="宋体" w:hAnsi="宋体" w:eastAsia="宋体" w:cs="宋体"/>
                <w:sz w:val="24"/>
              </w:rPr>
            </w:pPr>
            <w:r>
              <w:rPr>
                <w:rFonts w:hint="eastAsia" w:ascii="宋体" w:hAnsi="宋体" w:eastAsia="宋体" w:cs="宋体"/>
                <w:sz w:val="24"/>
              </w:rPr>
              <w:t>序号</w:t>
            </w:r>
          </w:p>
        </w:tc>
        <w:tc>
          <w:tcPr>
            <w:tcW w:w="1228" w:type="dxa"/>
          </w:tcPr>
          <w:p w14:paraId="619B0B08">
            <w:pPr>
              <w:jc w:val="center"/>
              <w:rPr>
                <w:rFonts w:ascii="宋体" w:hAnsi="宋体" w:eastAsia="宋体" w:cs="宋体"/>
                <w:sz w:val="24"/>
              </w:rPr>
            </w:pPr>
          </w:p>
          <w:p w14:paraId="1403133E">
            <w:pPr>
              <w:jc w:val="center"/>
              <w:rPr>
                <w:rFonts w:ascii="宋体" w:hAnsi="宋体" w:eastAsia="宋体" w:cs="宋体"/>
                <w:sz w:val="24"/>
              </w:rPr>
            </w:pPr>
            <w:r>
              <w:rPr>
                <w:rFonts w:hint="eastAsia" w:ascii="宋体" w:hAnsi="宋体" w:eastAsia="宋体" w:cs="宋体"/>
                <w:sz w:val="24"/>
              </w:rPr>
              <w:t>审查要素</w:t>
            </w:r>
          </w:p>
        </w:tc>
        <w:tc>
          <w:tcPr>
            <w:tcW w:w="7817" w:type="dxa"/>
          </w:tcPr>
          <w:p w14:paraId="5505E320">
            <w:pPr>
              <w:jc w:val="center"/>
              <w:rPr>
                <w:rFonts w:ascii="宋体" w:hAnsi="宋体" w:eastAsia="宋体" w:cs="宋体"/>
                <w:sz w:val="24"/>
              </w:rPr>
            </w:pPr>
          </w:p>
          <w:p w14:paraId="5DE725E7">
            <w:pPr>
              <w:jc w:val="center"/>
              <w:rPr>
                <w:rFonts w:ascii="宋体" w:hAnsi="宋体" w:eastAsia="宋体" w:cs="宋体"/>
                <w:sz w:val="24"/>
              </w:rPr>
            </w:pPr>
            <w:r>
              <w:rPr>
                <w:rFonts w:hint="eastAsia" w:ascii="宋体" w:hAnsi="宋体" w:eastAsia="宋体" w:cs="宋体"/>
                <w:sz w:val="24"/>
              </w:rPr>
              <w:t>审查内容</w:t>
            </w:r>
          </w:p>
        </w:tc>
      </w:tr>
      <w:tr w14:paraId="508F1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atLeast"/>
        </w:trPr>
        <w:tc>
          <w:tcPr>
            <w:tcW w:w="514" w:type="dxa"/>
          </w:tcPr>
          <w:p w14:paraId="06BEDF89">
            <w:pPr>
              <w:spacing w:line="294" w:lineRule="auto"/>
              <w:rPr>
                <w:rFonts w:ascii="Arial"/>
              </w:rPr>
            </w:pPr>
          </w:p>
          <w:p w14:paraId="63923B79">
            <w:pPr>
              <w:spacing w:before="65" w:line="184" w:lineRule="auto"/>
              <w:ind w:left="195"/>
              <w:rPr>
                <w:rFonts w:ascii="宋体" w:hAnsi="宋体" w:eastAsia="宋体" w:cs="宋体"/>
                <w:sz w:val="20"/>
                <w:szCs w:val="20"/>
              </w:rPr>
            </w:pPr>
            <w:r>
              <w:rPr>
                <w:rFonts w:ascii="宋体" w:hAnsi="宋体" w:eastAsia="宋体" w:cs="宋体"/>
                <w:sz w:val="20"/>
                <w:szCs w:val="20"/>
              </w:rPr>
              <w:t>1</w:t>
            </w:r>
          </w:p>
        </w:tc>
        <w:tc>
          <w:tcPr>
            <w:tcW w:w="1228" w:type="dxa"/>
            <w:vAlign w:val="center"/>
          </w:tcPr>
          <w:p w14:paraId="7C006D57">
            <w:pPr>
              <w:jc w:val="center"/>
              <w:rPr>
                <w:rFonts w:ascii="宋体" w:hAnsi="宋体" w:eastAsia="宋体" w:cs="宋体"/>
                <w:sz w:val="24"/>
              </w:rPr>
            </w:pPr>
            <w:r>
              <w:rPr>
                <w:rFonts w:hint="eastAsia" w:ascii="宋体" w:hAnsi="宋体" w:eastAsia="宋体" w:cs="宋体"/>
                <w:sz w:val="24"/>
              </w:rPr>
              <w:t>响应文件有效性</w:t>
            </w:r>
          </w:p>
        </w:tc>
        <w:tc>
          <w:tcPr>
            <w:tcW w:w="7817" w:type="dxa"/>
          </w:tcPr>
          <w:p w14:paraId="376FA163">
            <w:pPr>
              <w:spacing w:before="139" w:line="266" w:lineRule="auto"/>
              <w:ind w:left="162" w:right="94"/>
              <w:rPr>
                <w:rFonts w:ascii="宋体" w:hAnsi="宋体" w:eastAsia="宋体" w:cs="宋体"/>
                <w:sz w:val="24"/>
              </w:rPr>
            </w:pPr>
            <w:r>
              <w:rPr>
                <w:rFonts w:hint="eastAsia" w:ascii="宋体" w:hAnsi="宋体" w:eastAsia="宋体" w:cs="宋体"/>
                <w:sz w:val="24"/>
              </w:rPr>
              <w:t>电子响应文件的有效电子签章。磋商报价。未发现属无效响应的其他情形。</w:t>
            </w:r>
          </w:p>
        </w:tc>
      </w:tr>
      <w:tr w14:paraId="55AF7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514" w:type="dxa"/>
          </w:tcPr>
          <w:p w14:paraId="1BE5587B">
            <w:pPr>
              <w:spacing w:line="297" w:lineRule="auto"/>
              <w:rPr>
                <w:rFonts w:ascii="Arial"/>
              </w:rPr>
            </w:pPr>
          </w:p>
          <w:p w14:paraId="48802DCA">
            <w:pPr>
              <w:spacing w:before="65" w:line="183" w:lineRule="auto"/>
              <w:ind w:left="195"/>
              <w:rPr>
                <w:rFonts w:ascii="宋体" w:hAnsi="宋体" w:eastAsia="宋体" w:cs="宋体"/>
                <w:sz w:val="20"/>
                <w:szCs w:val="20"/>
              </w:rPr>
            </w:pPr>
            <w:r>
              <w:rPr>
                <w:rFonts w:ascii="宋体" w:hAnsi="宋体" w:eastAsia="宋体" w:cs="宋体"/>
                <w:sz w:val="20"/>
                <w:szCs w:val="20"/>
              </w:rPr>
              <w:t>2</w:t>
            </w:r>
          </w:p>
        </w:tc>
        <w:tc>
          <w:tcPr>
            <w:tcW w:w="1228" w:type="dxa"/>
            <w:vAlign w:val="center"/>
          </w:tcPr>
          <w:p w14:paraId="786986AE">
            <w:pPr>
              <w:jc w:val="center"/>
              <w:rPr>
                <w:rFonts w:ascii="宋体" w:hAnsi="宋体" w:eastAsia="宋体" w:cs="宋体"/>
                <w:sz w:val="24"/>
              </w:rPr>
            </w:pPr>
            <w:r>
              <w:rPr>
                <w:rFonts w:hint="eastAsia" w:ascii="宋体" w:hAnsi="宋体" w:eastAsia="宋体" w:cs="宋体"/>
                <w:sz w:val="24"/>
              </w:rPr>
              <w:t>响应文件完整性</w:t>
            </w:r>
          </w:p>
        </w:tc>
        <w:tc>
          <w:tcPr>
            <w:tcW w:w="7817" w:type="dxa"/>
          </w:tcPr>
          <w:p w14:paraId="0360BB6C">
            <w:pPr>
              <w:spacing w:line="246" w:lineRule="auto"/>
              <w:rPr>
                <w:rFonts w:ascii="宋体" w:hAnsi="宋体" w:eastAsia="宋体" w:cs="宋体"/>
                <w:sz w:val="24"/>
              </w:rPr>
            </w:pPr>
          </w:p>
          <w:p w14:paraId="3102DB9A">
            <w:pPr>
              <w:spacing w:before="65" w:line="219" w:lineRule="auto"/>
              <w:ind w:left="2462"/>
              <w:rPr>
                <w:rFonts w:ascii="宋体" w:hAnsi="宋体" w:eastAsia="宋体" w:cs="宋体"/>
                <w:sz w:val="24"/>
              </w:rPr>
            </w:pPr>
            <w:r>
              <w:rPr>
                <w:rFonts w:hint="eastAsia" w:ascii="宋体" w:hAnsi="宋体" w:eastAsia="宋体" w:cs="宋体"/>
                <w:spacing w:val="7"/>
                <w:sz w:val="24"/>
              </w:rPr>
              <w:t>响应文件内容完整性、齐全性。</w:t>
            </w:r>
          </w:p>
        </w:tc>
      </w:tr>
      <w:tr w14:paraId="17AA3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2" w:hRule="atLeast"/>
        </w:trPr>
        <w:tc>
          <w:tcPr>
            <w:tcW w:w="514" w:type="dxa"/>
          </w:tcPr>
          <w:p w14:paraId="46F72C57">
            <w:pPr>
              <w:spacing w:line="459" w:lineRule="auto"/>
              <w:rPr>
                <w:rFonts w:ascii="Arial"/>
              </w:rPr>
            </w:pPr>
          </w:p>
          <w:p w14:paraId="136CDEEC">
            <w:pPr>
              <w:spacing w:before="65" w:line="183" w:lineRule="auto"/>
              <w:ind w:left="195"/>
              <w:rPr>
                <w:rFonts w:ascii="宋体" w:hAnsi="宋体" w:eastAsia="宋体" w:cs="宋体"/>
                <w:sz w:val="20"/>
                <w:szCs w:val="20"/>
              </w:rPr>
            </w:pPr>
            <w:r>
              <w:rPr>
                <w:rFonts w:ascii="宋体" w:hAnsi="宋体" w:eastAsia="宋体" w:cs="宋体"/>
                <w:sz w:val="20"/>
                <w:szCs w:val="20"/>
              </w:rPr>
              <w:t>3</w:t>
            </w:r>
          </w:p>
        </w:tc>
        <w:tc>
          <w:tcPr>
            <w:tcW w:w="1228" w:type="dxa"/>
            <w:vAlign w:val="center"/>
          </w:tcPr>
          <w:p w14:paraId="52B0CAFE">
            <w:pPr>
              <w:jc w:val="center"/>
              <w:rPr>
                <w:rFonts w:ascii="宋体" w:hAnsi="宋体" w:eastAsia="宋体" w:cs="宋体"/>
                <w:sz w:val="24"/>
              </w:rPr>
            </w:pPr>
            <w:r>
              <w:rPr>
                <w:rFonts w:hint="eastAsia" w:ascii="宋体" w:hAnsi="宋体" w:eastAsia="宋体" w:cs="宋体"/>
                <w:sz w:val="24"/>
              </w:rPr>
              <w:t>对磋商文</w:t>
            </w:r>
          </w:p>
          <w:p w14:paraId="63684225">
            <w:pPr>
              <w:jc w:val="center"/>
              <w:rPr>
                <w:rFonts w:ascii="宋体" w:hAnsi="宋体" w:eastAsia="宋体" w:cs="宋体"/>
                <w:sz w:val="24"/>
              </w:rPr>
            </w:pPr>
            <w:r>
              <w:rPr>
                <w:rFonts w:hint="eastAsia" w:ascii="宋体" w:hAnsi="宋体" w:eastAsia="宋体" w:cs="宋体"/>
                <w:sz w:val="24"/>
              </w:rPr>
              <w:t>件响应程</w:t>
            </w:r>
          </w:p>
          <w:p w14:paraId="31BE7769">
            <w:pPr>
              <w:jc w:val="center"/>
              <w:rPr>
                <w:rFonts w:ascii="宋体" w:hAnsi="宋体" w:eastAsia="宋体" w:cs="宋体"/>
                <w:sz w:val="24"/>
              </w:rPr>
            </w:pPr>
            <w:r>
              <w:rPr>
                <w:rFonts w:hint="eastAsia" w:ascii="宋体" w:hAnsi="宋体" w:eastAsia="宋体" w:cs="宋体"/>
                <w:sz w:val="24"/>
              </w:rPr>
              <w:t>度</w:t>
            </w:r>
          </w:p>
        </w:tc>
        <w:tc>
          <w:tcPr>
            <w:tcW w:w="7817" w:type="dxa"/>
          </w:tcPr>
          <w:p w14:paraId="72F7B52F">
            <w:pPr>
              <w:spacing w:line="258" w:lineRule="auto"/>
              <w:rPr>
                <w:rFonts w:ascii="宋体" w:hAnsi="宋体" w:eastAsia="宋体" w:cs="宋体"/>
                <w:sz w:val="24"/>
              </w:rPr>
            </w:pPr>
          </w:p>
          <w:p w14:paraId="23EEB533">
            <w:pPr>
              <w:spacing w:before="65" w:line="244" w:lineRule="auto"/>
              <w:ind w:left="3181" w:right="134" w:hanging="3019"/>
              <w:rPr>
                <w:rFonts w:ascii="宋体" w:hAnsi="宋体" w:eastAsia="宋体" w:cs="宋体"/>
                <w:sz w:val="24"/>
              </w:rPr>
            </w:pPr>
            <w:r>
              <w:rPr>
                <w:rFonts w:hint="eastAsia" w:ascii="宋体" w:hAnsi="宋体" w:eastAsia="宋体" w:cs="宋体"/>
                <w:spacing w:val="9"/>
                <w:sz w:val="24"/>
              </w:rPr>
              <w:t>审查响应文件与磋商文件要求的主要条款、条件</w:t>
            </w:r>
            <w:r>
              <w:rPr>
                <w:rFonts w:hint="eastAsia" w:ascii="宋体" w:hAnsi="宋体" w:eastAsia="宋体" w:cs="宋体"/>
                <w:spacing w:val="8"/>
                <w:sz w:val="24"/>
              </w:rPr>
              <w:t>和技术规格是否相符，是否存在重</w:t>
            </w:r>
            <w:r>
              <w:rPr>
                <w:rFonts w:hint="eastAsia" w:ascii="宋体" w:hAnsi="宋体" w:eastAsia="宋体" w:cs="宋体"/>
                <w:spacing w:val="19"/>
                <w:sz w:val="24"/>
              </w:rPr>
              <w:t>大偏离或保留</w:t>
            </w:r>
          </w:p>
        </w:tc>
      </w:tr>
    </w:tbl>
    <w:p w14:paraId="42699C6D">
      <w:pPr>
        <w:tabs>
          <w:tab w:val="left" w:pos="255"/>
        </w:tabs>
        <w:spacing w:before="78" w:line="354" w:lineRule="auto"/>
        <w:ind w:left="124" w:right="96" w:firstLine="500"/>
        <w:rPr>
          <w:rFonts w:ascii="宋体" w:hAnsi="宋体" w:eastAsia="宋体" w:cs="宋体"/>
          <w:sz w:val="24"/>
        </w:rPr>
      </w:pPr>
      <w:r>
        <w:rPr>
          <w:rFonts w:ascii="宋体" w:hAnsi="宋体" w:eastAsia="宋体" w:cs="宋体"/>
          <w:spacing w:val="-1"/>
          <w:sz w:val="24"/>
        </w:rPr>
        <w:t>审查磋商响应文件与磋商文件要求的主要条款、条件和技术规格是否相符，是否存在</w:t>
      </w:r>
      <w:r>
        <w:rPr>
          <w:rFonts w:ascii="宋体" w:hAnsi="宋体" w:eastAsia="宋体" w:cs="宋体"/>
          <w:spacing w:val="5"/>
          <w:sz w:val="24"/>
        </w:rPr>
        <w:t>重大偏离或保留。所谓重大偏离或保留系指影响到磋商文件规定的服务(货物)范围、质</w:t>
      </w:r>
      <w:r>
        <w:rPr>
          <w:rFonts w:ascii="宋体" w:hAnsi="宋体" w:eastAsia="宋体" w:cs="宋体"/>
          <w:spacing w:val="-2"/>
          <w:sz w:val="24"/>
        </w:rPr>
        <w:t>量和性能的，或者在实质上与磋商文件不一致，有限制采购人</w:t>
      </w:r>
      <w:r>
        <w:rPr>
          <w:rFonts w:ascii="宋体" w:hAnsi="宋体" w:eastAsia="宋体" w:cs="宋体"/>
          <w:spacing w:val="-3"/>
          <w:sz w:val="24"/>
        </w:rPr>
        <w:t>权利和供应商义务的规定，</w:t>
      </w:r>
      <w:r>
        <w:rPr>
          <w:rFonts w:ascii="宋体" w:hAnsi="宋体" w:eastAsia="宋体" w:cs="宋体"/>
          <w:spacing w:val="-1"/>
          <w:sz w:val="24"/>
        </w:rPr>
        <w:t>而纠正这些偏离或保留将会对其他实质上响应文件的供应商的</w:t>
      </w:r>
      <w:r>
        <w:rPr>
          <w:rFonts w:ascii="宋体" w:hAnsi="宋体" w:eastAsia="宋体" w:cs="宋体"/>
          <w:spacing w:val="-2"/>
          <w:sz w:val="24"/>
        </w:rPr>
        <w:t>竞争地位产生不公正的影响</w:t>
      </w:r>
      <w:r>
        <w:rPr>
          <w:rFonts w:ascii="宋体" w:hAnsi="宋体" w:eastAsia="宋体" w:cs="宋体"/>
          <w:sz w:val="24"/>
        </w:rPr>
        <w:tab/>
      </w:r>
      <w:r>
        <w:rPr>
          <w:rFonts w:ascii="宋体" w:hAnsi="宋体" w:eastAsia="宋体" w:cs="宋体"/>
          <w:spacing w:val="-4"/>
          <w:sz w:val="24"/>
        </w:rPr>
        <w:t>(重大偏离或保留的认定须经磋商小组半数以上同意)。磋商小组决定磋商响</w:t>
      </w:r>
      <w:r>
        <w:rPr>
          <w:rFonts w:ascii="宋体" w:hAnsi="宋体" w:eastAsia="宋体" w:cs="宋体"/>
          <w:spacing w:val="-5"/>
          <w:sz w:val="24"/>
        </w:rPr>
        <w:t>应文件的响应</w:t>
      </w:r>
    </w:p>
    <w:p w14:paraId="68A2D84A">
      <w:pPr>
        <w:spacing w:line="218" w:lineRule="auto"/>
        <w:ind w:left="124"/>
        <w:rPr>
          <w:rFonts w:ascii="宋体" w:hAnsi="宋体" w:eastAsia="宋体" w:cs="宋体"/>
          <w:sz w:val="24"/>
        </w:rPr>
      </w:pPr>
      <w:r>
        <w:rPr>
          <w:rFonts w:ascii="宋体" w:hAnsi="宋体" w:eastAsia="宋体" w:cs="宋体"/>
          <w:spacing w:val="-2"/>
          <w:sz w:val="24"/>
        </w:rPr>
        <w:t>性只根据磋商响应文件本身的内容，而不寻求外部的证据。</w:t>
      </w:r>
    </w:p>
    <w:p w14:paraId="4A506ECA">
      <w:pPr>
        <w:spacing w:line="241" w:lineRule="auto"/>
        <w:rPr>
          <w:rFonts w:ascii="Arial"/>
        </w:rPr>
      </w:pPr>
    </w:p>
    <w:p w14:paraId="0AB72868">
      <w:pPr>
        <w:pStyle w:val="4"/>
        <w:spacing w:line="360" w:lineRule="auto"/>
        <w:jc w:val="left"/>
      </w:pPr>
      <w:bookmarkStart w:id="105" w:name="_bookmark65"/>
      <w:bookmarkEnd w:id="105"/>
      <w:bookmarkStart w:id="106" w:name="_bookmark66"/>
      <w:bookmarkEnd w:id="106"/>
      <w:bookmarkStart w:id="107" w:name="_Toc7689"/>
      <w:r>
        <w:rPr>
          <w:rFonts w:hint="eastAsia"/>
        </w:rPr>
        <w:t>五、磋商记录</w:t>
      </w:r>
      <w:bookmarkEnd w:id="107"/>
    </w:p>
    <w:p w14:paraId="2F95DC46">
      <w:pPr>
        <w:spacing w:line="252" w:lineRule="auto"/>
        <w:rPr>
          <w:rFonts w:ascii="Arial"/>
        </w:rPr>
      </w:pPr>
    </w:p>
    <w:p w14:paraId="23302FA4">
      <w:pPr>
        <w:spacing w:before="81" w:line="218" w:lineRule="auto"/>
        <w:ind w:left="614"/>
        <w:rPr>
          <w:rFonts w:ascii="宋体" w:hAnsi="宋体" w:eastAsia="宋体" w:cs="宋体"/>
          <w:sz w:val="25"/>
          <w:szCs w:val="25"/>
        </w:rPr>
      </w:pPr>
      <w:r>
        <w:rPr>
          <w:rFonts w:ascii="宋体" w:hAnsi="宋体" w:eastAsia="宋体" w:cs="宋体"/>
          <w:spacing w:val="-11"/>
          <w:sz w:val="25"/>
          <w:szCs w:val="25"/>
        </w:rPr>
        <w:t>5.1《磋商记录》包括供应商答复或承诺的内容、磋商文件的变动</w:t>
      </w:r>
      <w:r>
        <w:rPr>
          <w:rFonts w:ascii="宋体" w:hAnsi="宋体" w:eastAsia="宋体" w:cs="宋体"/>
          <w:spacing w:val="-12"/>
          <w:sz w:val="25"/>
          <w:szCs w:val="25"/>
        </w:rPr>
        <w:t>情况及最后报价等。</w:t>
      </w:r>
    </w:p>
    <w:p w14:paraId="0AA061A0">
      <w:pPr>
        <w:spacing w:line="257" w:lineRule="auto"/>
        <w:rPr>
          <w:rFonts w:ascii="Arial"/>
        </w:rPr>
      </w:pPr>
    </w:p>
    <w:p w14:paraId="45CDEFB2">
      <w:pPr>
        <w:pStyle w:val="4"/>
        <w:spacing w:line="360" w:lineRule="auto"/>
        <w:jc w:val="left"/>
      </w:pPr>
      <w:bookmarkStart w:id="108" w:name="_Toc13465"/>
      <w:r>
        <w:rPr>
          <w:rFonts w:hint="eastAsia"/>
        </w:rPr>
        <w:t>六、综合评分</w:t>
      </w:r>
      <w:bookmarkEnd w:id="108"/>
    </w:p>
    <w:p w14:paraId="08715ED4">
      <w:pPr>
        <w:ind w:firstLine="480" w:firstLineChars="200"/>
        <w:rPr>
          <w:sz w:val="24"/>
        </w:rPr>
      </w:pPr>
      <w:bookmarkStart w:id="109" w:name="OLE_LINK3"/>
      <w:r>
        <w:rPr>
          <w:sz w:val="24"/>
        </w:rPr>
        <w:t>经磋商确定最终采购需求和提交最后报价的供应商后，磋商小组采用综合评分法对提</w:t>
      </w:r>
    </w:p>
    <w:p w14:paraId="1583071A">
      <w:pPr>
        <w:widowControl/>
        <w:spacing w:line="360" w:lineRule="auto"/>
        <w:ind w:firstLine="420"/>
        <w:jc w:val="left"/>
        <w:rPr>
          <w:sz w:val="24"/>
        </w:rPr>
      </w:pPr>
      <w:r>
        <w:rPr>
          <w:sz w:val="24"/>
        </w:rPr>
        <w:t>交最后报价的供应商的磋商响应文件和最后报价进行综合评分，总分100分。</w:t>
      </w:r>
    </w:p>
    <w:p w14:paraId="6EAD9810">
      <w:pPr>
        <w:widowControl/>
        <w:spacing w:line="360" w:lineRule="auto"/>
        <w:ind w:firstLine="420"/>
        <w:jc w:val="left"/>
        <w:rPr>
          <w:rFonts w:ascii="宋体" w:hAnsi="宋体" w:eastAsia="宋体" w:cs="宋体"/>
          <w:kern w:val="0"/>
          <w:sz w:val="24"/>
        </w:rPr>
      </w:pPr>
      <w:bookmarkStart w:id="110" w:name="OLE_LINK1"/>
      <w:r>
        <w:rPr>
          <w:rFonts w:hint="eastAsia" w:ascii="宋体" w:hAnsi="宋体" w:eastAsia="宋体" w:cs="宋体"/>
          <w:b/>
          <w:kern w:val="0"/>
          <w:sz w:val="24"/>
        </w:rPr>
        <w:t>本项目采用综合评分法。</w:t>
      </w:r>
    </w:p>
    <w:p w14:paraId="14AF7DCC">
      <w:pPr>
        <w:spacing w:before="19"/>
        <w:rPr>
          <w:rFonts w:ascii="宋体" w:hAnsi="宋体" w:eastAsia="宋体" w:cs="宋体"/>
          <w:kern w:val="0"/>
        </w:rPr>
      </w:pPr>
    </w:p>
    <w:tbl>
      <w:tblPr>
        <w:tblStyle w:val="16"/>
        <w:tblW w:w="95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18"/>
        <w:gridCol w:w="2214"/>
        <w:gridCol w:w="2216"/>
        <w:gridCol w:w="2889"/>
      </w:tblGrid>
      <w:tr w14:paraId="519384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2218" w:type="dxa"/>
          </w:tcPr>
          <w:p w14:paraId="2B79C8D0">
            <w:pPr>
              <w:spacing w:before="152" w:after="80" w:line="221" w:lineRule="auto"/>
              <w:ind w:left="647"/>
              <w:jc w:val="left"/>
              <w:rPr>
                <w:rFonts w:ascii="宋体" w:hAnsi="宋体" w:eastAsia="宋体" w:cs="宋体"/>
                <w:kern w:val="0"/>
                <w:sz w:val="24"/>
              </w:rPr>
            </w:pPr>
            <w:r>
              <w:rPr>
                <w:rFonts w:hint="eastAsia" w:ascii="宋体" w:hAnsi="宋体" w:eastAsia="宋体" w:cs="宋体"/>
                <w:spacing w:val="-1"/>
                <w:kern w:val="0"/>
                <w:sz w:val="24"/>
              </w:rPr>
              <w:t>评分项目</w:t>
            </w:r>
          </w:p>
        </w:tc>
        <w:tc>
          <w:tcPr>
            <w:tcW w:w="2214" w:type="dxa"/>
          </w:tcPr>
          <w:p w14:paraId="7A1994E6">
            <w:pPr>
              <w:spacing w:before="152" w:after="80" w:line="219" w:lineRule="auto"/>
              <w:ind w:left="649"/>
              <w:jc w:val="left"/>
              <w:rPr>
                <w:rFonts w:ascii="宋体" w:hAnsi="宋体" w:eastAsia="宋体" w:cs="宋体"/>
                <w:kern w:val="0"/>
                <w:sz w:val="24"/>
              </w:rPr>
            </w:pPr>
            <w:r>
              <w:rPr>
                <w:rFonts w:hint="eastAsia" w:ascii="宋体" w:hAnsi="宋体" w:eastAsia="宋体" w:cs="宋体"/>
                <w:spacing w:val="-2"/>
                <w:kern w:val="0"/>
                <w:sz w:val="24"/>
              </w:rPr>
              <w:t>技术评估</w:t>
            </w:r>
          </w:p>
        </w:tc>
        <w:tc>
          <w:tcPr>
            <w:tcW w:w="2216" w:type="dxa"/>
          </w:tcPr>
          <w:p w14:paraId="42722461">
            <w:pPr>
              <w:spacing w:before="152" w:after="80" w:line="219" w:lineRule="auto"/>
              <w:ind w:left="656"/>
              <w:jc w:val="left"/>
              <w:rPr>
                <w:rFonts w:ascii="宋体" w:hAnsi="宋体" w:eastAsia="宋体" w:cs="宋体"/>
                <w:kern w:val="0"/>
                <w:sz w:val="24"/>
              </w:rPr>
            </w:pPr>
            <w:r>
              <w:rPr>
                <w:rFonts w:hint="eastAsia" w:ascii="宋体" w:hAnsi="宋体" w:eastAsia="宋体" w:cs="宋体"/>
                <w:spacing w:val="-3"/>
                <w:kern w:val="0"/>
                <w:sz w:val="24"/>
              </w:rPr>
              <w:t>商务评估</w:t>
            </w:r>
          </w:p>
        </w:tc>
        <w:tc>
          <w:tcPr>
            <w:tcW w:w="2889" w:type="dxa"/>
          </w:tcPr>
          <w:p w14:paraId="2FEA7B93">
            <w:pPr>
              <w:spacing w:before="152" w:after="80" w:line="219" w:lineRule="auto"/>
              <w:ind w:left="654"/>
              <w:jc w:val="left"/>
              <w:rPr>
                <w:rFonts w:ascii="宋体" w:hAnsi="宋体" w:eastAsia="宋体" w:cs="宋体"/>
                <w:kern w:val="0"/>
                <w:sz w:val="24"/>
              </w:rPr>
            </w:pPr>
            <w:r>
              <w:rPr>
                <w:rFonts w:hint="eastAsia" w:ascii="宋体" w:hAnsi="宋体" w:eastAsia="宋体" w:cs="宋体"/>
                <w:spacing w:val="-2"/>
                <w:kern w:val="0"/>
                <w:sz w:val="24"/>
              </w:rPr>
              <w:t>价格评估</w:t>
            </w:r>
          </w:p>
        </w:tc>
      </w:tr>
      <w:tr w14:paraId="00B9F2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2218" w:type="dxa"/>
          </w:tcPr>
          <w:p w14:paraId="2342A105">
            <w:pPr>
              <w:spacing w:before="151" w:after="80" w:line="221" w:lineRule="auto"/>
              <w:ind w:left="862"/>
              <w:jc w:val="left"/>
              <w:rPr>
                <w:rFonts w:ascii="宋体" w:hAnsi="宋体" w:eastAsia="宋体" w:cs="宋体"/>
                <w:kern w:val="0"/>
                <w:sz w:val="24"/>
              </w:rPr>
            </w:pPr>
            <w:r>
              <w:rPr>
                <w:rFonts w:hint="eastAsia" w:ascii="宋体" w:hAnsi="宋体" w:eastAsia="宋体" w:cs="宋体"/>
                <w:spacing w:val="-3"/>
                <w:kern w:val="0"/>
                <w:sz w:val="24"/>
              </w:rPr>
              <w:t>分值</w:t>
            </w:r>
          </w:p>
        </w:tc>
        <w:tc>
          <w:tcPr>
            <w:tcW w:w="2214" w:type="dxa"/>
          </w:tcPr>
          <w:p w14:paraId="4E27FB28">
            <w:pPr>
              <w:spacing w:before="186" w:after="80" w:line="183" w:lineRule="auto"/>
              <w:ind w:left="811"/>
              <w:jc w:val="left"/>
              <w:rPr>
                <w:rFonts w:hint="default" w:ascii="宋体" w:hAnsi="宋体" w:eastAsia="宋体" w:cs="宋体"/>
                <w:kern w:val="0"/>
                <w:sz w:val="24"/>
                <w:lang w:val="en-US" w:eastAsia="zh-CN"/>
              </w:rPr>
            </w:pPr>
            <w:r>
              <w:rPr>
                <w:rFonts w:hint="eastAsia" w:ascii="宋体" w:hAnsi="宋体" w:eastAsia="宋体" w:cs="宋体"/>
                <w:spacing w:val="-2"/>
                <w:kern w:val="0"/>
                <w:sz w:val="24"/>
                <w:lang w:val="en-US" w:eastAsia="zh-CN"/>
              </w:rPr>
              <w:t>50.00</w:t>
            </w:r>
          </w:p>
        </w:tc>
        <w:tc>
          <w:tcPr>
            <w:tcW w:w="2216" w:type="dxa"/>
          </w:tcPr>
          <w:p w14:paraId="6EDB0C2A">
            <w:pPr>
              <w:spacing w:before="187" w:after="80" w:line="182" w:lineRule="auto"/>
              <w:ind w:left="812"/>
              <w:jc w:val="left"/>
              <w:rPr>
                <w:rFonts w:hint="default" w:ascii="宋体" w:hAnsi="宋体" w:eastAsia="宋体" w:cs="宋体"/>
                <w:kern w:val="0"/>
                <w:sz w:val="24"/>
                <w:lang w:val="en-US" w:eastAsia="zh-CN"/>
              </w:rPr>
            </w:pPr>
            <w:r>
              <w:rPr>
                <w:rFonts w:hint="eastAsia" w:ascii="宋体" w:hAnsi="宋体" w:eastAsia="宋体" w:cs="宋体"/>
                <w:spacing w:val="-2"/>
                <w:kern w:val="0"/>
                <w:sz w:val="24"/>
                <w:lang w:val="en-US" w:eastAsia="zh-CN"/>
              </w:rPr>
              <w:t>40.00</w:t>
            </w:r>
          </w:p>
        </w:tc>
        <w:tc>
          <w:tcPr>
            <w:tcW w:w="2889" w:type="dxa"/>
          </w:tcPr>
          <w:p w14:paraId="646E90E8">
            <w:pPr>
              <w:spacing w:before="186" w:after="80" w:line="183" w:lineRule="auto"/>
              <w:ind w:left="824"/>
              <w:jc w:val="left"/>
              <w:rPr>
                <w:rFonts w:ascii="宋体" w:hAnsi="宋体" w:eastAsia="宋体" w:cs="宋体"/>
                <w:kern w:val="0"/>
                <w:sz w:val="24"/>
              </w:rPr>
            </w:pPr>
            <w:r>
              <w:rPr>
                <w:rFonts w:hint="eastAsia" w:ascii="宋体" w:hAnsi="宋体" w:eastAsia="宋体" w:cs="宋体"/>
                <w:spacing w:val="-4"/>
                <w:kern w:val="0"/>
                <w:sz w:val="24"/>
                <w:lang w:val="en-US" w:eastAsia="zh-CN"/>
              </w:rPr>
              <w:t>1</w:t>
            </w:r>
            <w:r>
              <w:rPr>
                <w:rFonts w:hint="eastAsia" w:ascii="宋体" w:hAnsi="宋体" w:eastAsia="宋体" w:cs="宋体"/>
                <w:spacing w:val="-4"/>
                <w:kern w:val="0"/>
                <w:sz w:val="24"/>
              </w:rPr>
              <w:t>0.00</w:t>
            </w:r>
          </w:p>
        </w:tc>
      </w:tr>
    </w:tbl>
    <w:p w14:paraId="789D652C">
      <w:pPr>
        <w:spacing w:line="250" w:lineRule="auto"/>
        <w:rPr>
          <w:rFonts w:ascii="宋体" w:hAnsi="宋体" w:eastAsia="宋体" w:cs="宋体"/>
          <w:kern w:val="0"/>
          <w:sz w:val="28"/>
          <w:szCs w:val="22"/>
        </w:rPr>
      </w:pPr>
    </w:p>
    <w:p w14:paraId="493F37A8">
      <w:pPr>
        <w:spacing w:before="78" w:line="218" w:lineRule="auto"/>
        <w:rPr>
          <w:rFonts w:ascii="宋体" w:hAnsi="宋体" w:eastAsia="宋体" w:cs="宋体"/>
          <w:b/>
          <w:bCs/>
          <w:spacing w:val="-2"/>
          <w:kern w:val="0"/>
          <w:sz w:val="24"/>
        </w:rPr>
      </w:pPr>
    </w:p>
    <w:p w14:paraId="1946F1FD">
      <w:pPr>
        <w:spacing w:before="78" w:line="218" w:lineRule="auto"/>
        <w:rPr>
          <w:rFonts w:ascii="宋体" w:hAnsi="宋体" w:eastAsia="宋体" w:cs="宋体"/>
          <w:b/>
          <w:bCs/>
          <w:kern w:val="0"/>
          <w:sz w:val="24"/>
        </w:rPr>
      </w:pPr>
      <w:r>
        <w:rPr>
          <w:rFonts w:hint="eastAsia" w:ascii="宋体" w:hAnsi="宋体" w:eastAsia="宋体" w:cs="宋体"/>
          <w:b/>
          <w:bCs/>
          <w:spacing w:val="-2"/>
          <w:kern w:val="0"/>
          <w:sz w:val="24"/>
        </w:rPr>
        <w:t>（一）技术评估</w:t>
      </w:r>
    </w:p>
    <w:tbl>
      <w:tblPr>
        <w:tblStyle w:val="1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734"/>
        <w:gridCol w:w="1288"/>
        <w:gridCol w:w="7040"/>
        <w:gridCol w:w="734"/>
      </w:tblGrid>
      <w:tr w14:paraId="471EE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4" w:type="dxa"/>
            <w:tcMar>
              <w:top w:w="100" w:type="dxa"/>
              <w:bottom w:w="100" w:type="dxa"/>
            </w:tcMar>
            <w:vAlign w:val="center"/>
          </w:tcPr>
          <w:p w14:paraId="4BECB51C">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序号</w:t>
            </w:r>
          </w:p>
        </w:tc>
        <w:tc>
          <w:tcPr>
            <w:tcW w:w="1288" w:type="dxa"/>
            <w:tcMar>
              <w:top w:w="100" w:type="dxa"/>
              <w:bottom w:w="100" w:type="dxa"/>
            </w:tcMar>
            <w:vAlign w:val="center"/>
          </w:tcPr>
          <w:p w14:paraId="0712FEEC">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评审因素</w:t>
            </w:r>
          </w:p>
        </w:tc>
        <w:tc>
          <w:tcPr>
            <w:tcW w:w="7040" w:type="dxa"/>
            <w:tcMar>
              <w:top w:w="100" w:type="dxa"/>
              <w:bottom w:w="100" w:type="dxa"/>
            </w:tcMar>
            <w:vAlign w:val="center"/>
          </w:tcPr>
          <w:p w14:paraId="6112382A">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评审细则</w:t>
            </w:r>
          </w:p>
        </w:tc>
        <w:tc>
          <w:tcPr>
            <w:tcW w:w="734" w:type="dxa"/>
            <w:tcMar>
              <w:top w:w="100" w:type="dxa"/>
              <w:bottom w:w="100" w:type="dxa"/>
            </w:tcMar>
            <w:vAlign w:val="center"/>
          </w:tcPr>
          <w:p w14:paraId="10EFFE28">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分值</w:t>
            </w:r>
          </w:p>
        </w:tc>
      </w:tr>
      <w:tr w14:paraId="61F74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062" w:type="dxa"/>
            <w:gridSpan w:val="3"/>
            <w:tcMar>
              <w:top w:w="100" w:type="dxa"/>
              <w:bottom w:w="100" w:type="dxa"/>
            </w:tcMar>
            <w:vAlign w:val="center"/>
          </w:tcPr>
          <w:p w14:paraId="0F8DF9A7">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技术或者服务水平</w:t>
            </w:r>
          </w:p>
        </w:tc>
        <w:tc>
          <w:tcPr>
            <w:tcW w:w="734" w:type="dxa"/>
            <w:tcMar>
              <w:top w:w="100" w:type="dxa"/>
              <w:bottom w:w="100" w:type="dxa"/>
            </w:tcMar>
            <w:vAlign w:val="center"/>
          </w:tcPr>
          <w:p w14:paraId="4A68A368">
            <w:pPr>
              <w:widowControl/>
              <w:jc w:val="center"/>
              <w:rPr>
                <w:rFonts w:ascii="宋体" w:hAnsi="宋体" w:eastAsia="宋体" w:cs="宋体"/>
                <w:kern w:val="0"/>
                <w:sz w:val="24"/>
                <w:lang w:eastAsia="en-US"/>
              </w:rPr>
            </w:pPr>
            <w:r>
              <w:rPr>
                <w:rFonts w:hint="eastAsia" w:ascii="宋体" w:hAnsi="宋体" w:eastAsia="宋体" w:cs="宋体"/>
                <w:kern w:val="0"/>
                <w:sz w:val="24"/>
              </w:rPr>
              <w:t>5</w:t>
            </w:r>
            <w:r>
              <w:rPr>
                <w:rFonts w:hint="eastAsia" w:ascii="宋体" w:hAnsi="宋体" w:eastAsia="宋体" w:cs="宋体"/>
                <w:kern w:val="0"/>
                <w:sz w:val="24"/>
                <w:lang w:val="en-US" w:eastAsia="zh-CN"/>
              </w:rPr>
              <w:t>0</w:t>
            </w:r>
            <w:r>
              <w:rPr>
                <w:rFonts w:hint="eastAsia" w:ascii="宋体" w:hAnsi="宋体" w:eastAsia="宋体" w:cs="宋体"/>
                <w:kern w:val="0"/>
                <w:sz w:val="24"/>
                <w:lang w:eastAsia="en-US"/>
              </w:rPr>
              <w:t>.0</w:t>
            </w:r>
          </w:p>
        </w:tc>
      </w:tr>
      <w:tr w14:paraId="7B386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4" w:type="dxa"/>
            <w:tcMar>
              <w:top w:w="100" w:type="dxa"/>
              <w:bottom w:w="100" w:type="dxa"/>
            </w:tcMar>
            <w:vAlign w:val="center"/>
          </w:tcPr>
          <w:p w14:paraId="27964F85">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1.1</w:t>
            </w:r>
          </w:p>
        </w:tc>
        <w:tc>
          <w:tcPr>
            <w:tcW w:w="1288" w:type="dxa"/>
            <w:tcMar>
              <w:top w:w="100" w:type="dxa"/>
              <w:bottom w:w="100" w:type="dxa"/>
            </w:tcMar>
            <w:vAlign w:val="center"/>
          </w:tcPr>
          <w:p w14:paraId="5F3579BC">
            <w:pPr>
              <w:widowControl/>
              <w:jc w:val="center"/>
              <w:rPr>
                <w:rFonts w:ascii="宋体" w:hAnsi="宋体" w:eastAsia="宋体" w:cs="宋体"/>
                <w:kern w:val="0"/>
                <w:sz w:val="24"/>
                <w:lang w:eastAsia="en-US"/>
              </w:rPr>
            </w:pPr>
            <w:r>
              <w:rPr>
                <w:rFonts w:hint="eastAsia" w:hAnsi="宋体" w:cs="宋体"/>
                <w:color w:val="auto"/>
                <w:sz w:val="24"/>
                <w:szCs w:val="24"/>
                <w:u w:val="none"/>
              </w:rPr>
              <w:t>组织机构框架及企业内部制度</w:t>
            </w:r>
          </w:p>
        </w:tc>
        <w:tc>
          <w:tcPr>
            <w:tcW w:w="7040" w:type="dxa"/>
            <w:shd w:val="clear" w:color="auto" w:fill="auto"/>
            <w:tcMar>
              <w:top w:w="100" w:type="dxa"/>
              <w:bottom w:w="100" w:type="dxa"/>
            </w:tcMar>
            <w:vAlign w:val="top"/>
          </w:tcPr>
          <w:p w14:paraId="4AC13664">
            <w:pPr>
              <w:pStyle w:val="9"/>
              <w:spacing w:line="320" w:lineRule="exact"/>
              <w:rPr>
                <w:rFonts w:ascii="宋体" w:hAnsi="Courier New" w:cs="Courier New" w:eastAsiaTheme="minorEastAsia"/>
                <w:kern w:val="2"/>
                <w:sz w:val="24"/>
                <w:szCs w:val="24"/>
                <w:lang w:val="en-US" w:eastAsia="zh-CN" w:bidi="ar-SA"/>
              </w:rPr>
            </w:pPr>
            <w:r>
              <w:rPr>
                <w:rFonts w:hint="eastAsia" w:hAnsi="宋体" w:cs="宋体"/>
                <w:color w:val="auto"/>
                <w:sz w:val="24"/>
                <w:szCs w:val="24"/>
                <w:u w:val="none"/>
              </w:rPr>
              <w:t>组织机构框架及企业内部制度建设</w:t>
            </w:r>
            <w:r>
              <w:rPr>
                <w:rFonts w:hint="eastAsia" w:hAnsi="宋体" w:cs="宋体"/>
                <w:color w:val="auto"/>
                <w:sz w:val="24"/>
                <w:szCs w:val="24"/>
                <w:u w:val="none"/>
                <w:lang w:eastAsia="zh-CN"/>
              </w:rPr>
              <w:t>的</w:t>
            </w:r>
            <w:r>
              <w:rPr>
                <w:rFonts w:hint="eastAsia" w:hAnsi="宋体" w:cs="宋体"/>
                <w:color w:val="auto"/>
                <w:sz w:val="24"/>
                <w:szCs w:val="24"/>
                <w:u w:val="none"/>
              </w:rPr>
              <w:t>完整性、针对性、合理性进行打分：方案完整、针对性强、合理的得</w:t>
            </w:r>
            <w:r>
              <w:rPr>
                <w:rFonts w:hint="eastAsia" w:hAnsi="宋体" w:cs="宋体"/>
                <w:color w:val="auto"/>
                <w:sz w:val="24"/>
                <w:szCs w:val="24"/>
                <w:u w:val="none"/>
                <w:lang w:val="en-US" w:eastAsia="zh-CN"/>
              </w:rPr>
              <w:t>10</w:t>
            </w:r>
            <w:r>
              <w:rPr>
                <w:rFonts w:hint="eastAsia" w:hAnsi="宋体" w:cs="宋体"/>
                <w:color w:val="auto"/>
                <w:sz w:val="24"/>
                <w:szCs w:val="24"/>
                <w:u w:val="none"/>
              </w:rPr>
              <w:t>分；方案较完整、针对性较强、较合理的得</w:t>
            </w:r>
            <w:r>
              <w:rPr>
                <w:rFonts w:hint="eastAsia" w:hAnsi="宋体" w:cs="宋体"/>
                <w:color w:val="auto"/>
                <w:sz w:val="24"/>
                <w:szCs w:val="24"/>
                <w:u w:val="none"/>
                <w:lang w:val="en-US" w:eastAsia="zh-CN"/>
              </w:rPr>
              <w:t>7</w:t>
            </w:r>
            <w:r>
              <w:rPr>
                <w:rFonts w:hint="eastAsia" w:hAnsi="宋体" w:cs="宋体"/>
                <w:color w:val="auto"/>
                <w:sz w:val="24"/>
                <w:szCs w:val="24"/>
                <w:u w:val="none"/>
              </w:rPr>
              <w:t>分；方案</w:t>
            </w:r>
            <w:r>
              <w:rPr>
                <w:rFonts w:hint="eastAsia" w:hAnsi="宋体" w:cs="宋体"/>
                <w:color w:val="auto"/>
                <w:sz w:val="24"/>
                <w:szCs w:val="24"/>
                <w:u w:val="none"/>
                <w:lang w:val="en-US" w:eastAsia="zh-CN"/>
              </w:rPr>
              <w:t>一般</w:t>
            </w:r>
            <w:r>
              <w:rPr>
                <w:rFonts w:hint="eastAsia" w:hAnsi="宋体" w:cs="宋体"/>
                <w:color w:val="auto"/>
                <w:sz w:val="24"/>
                <w:szCs w:val="24"/>
                <w:u w:val="none"/>
              </w:rPr>
              <w:t>、针对性</w:t>
            </w:r>
            <w:r>
              <w:rPr>
                <w:rFonts w:hint="eastAsia" w:hAnsi="宋体" w:cs="宋体"/>
                <w:color w:val="auto"/>
                <w:sz w:val="24"/>
                <w:szCs w:val="24"/>
                <w:u w:val="none"/>
                <w:lang w:val="en-US" w:eastAsia="zh-CN"/>
              </w:rPr>
              <w:t>一般</w:t>
            </w:r>
            <w:r>
              <w:rPr>
                <w:rFonts w:hint="eastAsia" w:hAnsi="宋体" w:cs="宋体"/>
                <w:color w:val="auto"/>
                <w:sz w:val="24"/>
                <w:szCs w:val="24"/>
                <w:u w:val="none"/>
              </w:rPr>
              <w:t>的得</w:t>
            </w:r>
            <w:r>
              <w:rPr>
                <w:rFonts w:hint="eastAsia" w:hAnsi="宋体" w:cs="宋体"/>
                <w:color w:val="auto"/>
                <w:sz w:val="24"/>
                <w:szCs w:val="24"/>
                <w:u w:val="none"/>
                <w:lang w:val="en-US" w:eastAsia="zh-CN"/>
              </w:rPr>
              <w:t>4</w:t>
            </w:r>
            <w:r>
              <w:rPr>
                <w:rFonts w:hint="eastAsia" w:hAnsi="宋体" w:cs="宋体"/>
                <w:color w:val="auto"/>
                <w:sz w:val="24"/>
                <w:szCs w:val="24"/>
                <w:u w:val="none"/>
              </w:rPr>
              <w:t>分</w:t>
            </w:r>
            <w:r>
              <w:rPr>
                <w:rFonts w:hint="eastAsia" w:hAnsi="宋体" w:cs="宋体"/>
                <w:color w:val="auto"/>
                <w:sz w:val="24"/>
                <w:szCs w:val="24"/>
                <w:u w:val="none"/>
                <w:lang w:eastAsia="zh-CN"/>
              </w:rPr>
              <w:t>；</w:t>
            </w:r>
            <w:r>
              <w:rPr>
                <w:rFonts w:hint="eastAsia" w:hAnsi="宋体" w:cs="宋体"/>
                <w:color w:val="auto"/>
                <w:sz w:val="24"/>
                <w:szCs w:val="24"/>
                <w:u w:val="none"/>
              </w:rPr>
              <w:t>方案不完整、缺失的得</w:t>
            </w:r>
            <w:r>
              <w:rPr>
                <w:rFonts w:hint="eastAsia" w:hAnsi="宋体" w:cs="宋体"/>
                <w:color w:val="auto"/>
                <w:sz w:val="24"/>
                <w:szCs w:val="24"/>
                <w:u w:val="none"/>
                <w:lang w:val="en-US" w:eastAsia="zh-CN"/>
              </w:rPr>
              <w:t>1</w:t>
            </w:r>
            <w:r>
              <w:rPr>
                <w:rFonts w:hint="eastAsia" w:hAnsi="宋体" w:cs="宋体"/>
                <w:color w:val="auto"/>
                <w:sz w:val="24"/>
                <w:szCs w:val="24"/>
                <w:u w:val="none"/>
              </w:rPr>
              <w:t>分；无本项方案的不得分。</w:t>
            </w:r>
          </w:p>
        </w:tc>
        <w:tc>
          <w:tcPr>
            <w:tcW w:w="734" w:type="dxa"/>
            <w:tcMar>
              <w:top w:w="100" w:type="dxa"/>
              <w:bottom w:w="100" w:type="dxa"/>
            </w:tcMar>
            <w:vAlign w:val="center"/>
          </w:tcPr>
          <w:p w14:paraId="41EA5423">
            <w:pPr>
              <w:widowControl/>
              <w:jc w:val="center"/>
              <w:rPr>
                <w:rFonts w:hint="default" w:ascii="宋体" w:hAnsi="宋体" w:eastAsia="宋体" w:cs="宋体"/>
                <w:kern w:val="0"/>
                <w:lang w:val="en-US" w:eastAsia="zh-CN"/>
              </w:rPr>
            </w:pPr>
            <w:r>
              <w:rPr>
                <w:rFonts w:hint="eastAsia" w:ascii="宋体" w:hAnsi="宋体" w:eastAsia="宋体" w:cs="宋体"/>
                <w:kern w:val="0"/>
                <w:lang w:val="en-US" w:eastAsia="zh-CN"/>
              </w:rPr>
              <w:t>10</w:t>
            </w:r>
          </w:p>
        </w:tc>
      </w:tr>
      <w:tr w14:paraId="07EDB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4" w:type="dxa"/>
            <w:tcMar>
              <w:top w:w="100" w:type="dxa"/>
              <w:bottom w:w="100" w:type="dxa"/>
            </w:tcMar>
            <w:vAlign w:val="center"/>
          </w:tcPr>
          <w:p w14:paraId="287472A8">
            <w:pPr>
              <w:widowControl/>
              <w:jc w:val="center"/>
              <w:rPr>
                <w:rFonts w:hint="default" w:ascii="宋体" w:hAnsi="宋体" w:eastAsia="宋体" w:cs="宋体"/>
                <w:kern w:val="0"/>
                <w:sz w:val="24"/>
                <w:lang w:val="en-US" w:eastAsia="zh-CN"/>
              </w:rPr>
            </w:pPr>
            <w:r>
              <w:rPr>
                <w:rFonts w:hint="eastAsia" w:ascii="宋体" w:hAnsi="宋体" w:eastAsia="宋体" w:cs="宋体"/>
                <w:kern w:val="0"/>
                <w:sz w:val="24"/>
                <w:lang w:val="en-US" w:eastAsia="zh-CN"/>
              </w:rPr>
              <w:t xml:space="preserve">1.2 </w:t>
            </w:r>
          </w:p>
        </w:tc>
        <w:tc>
          <w:tcPr>
            <w:tcW w:w="1288" w:type="dxa"/>
            <w:tcMar>
              <w:top w:w="100" w:type="dxa"/>
              <w:bottom w:w="100" w:type="dxa"/>
            </w:tcMar>
            <w:vAlign w:val="center"/>
          </w:tcPr>
          <w:p w14:paraId="625F2CB9">
            <w:pPr>
              <w:widowControl/>
              <w:jc w:val="center"/>
              <w:rPr>
                <w:rFonts w:hint="eastAsia" w:ascii="宋体" w:hAnsi="宋体" w:eastAsia="宋体" w:cs="宋体"/>
                <w:kern w:val="0"/>
                <w:sz w:val="24"/>
                <w:lang w:eastAsia="en-US"/>
              </w:rPr>
            </w:pPr>
            <w:r>
              <w:rPr>
                <w:rFonts w:hint="eastAsia" w:hAnsi="宋体" w:cs="宋体"/>
                <w:color w:val="auto"/>
                <w:sz w:val="24"/>
                <w:szCs w:val="24"/>
                <w:u w:val="none"/>
              </w:rPr>
              <w:t>项目组人员配备及岗位职责分工</w:t>
            </w:r>
          </w:p>
        </w:tc>
        <w:tc>
          <w:tcPr>
            <w:tcW w:w="7040" w:type="dxa"/>
            <w:shd w:val="clear" w:color="auto" w:fill="auto"/>
            <w:tcMar>
              <w:top w:w="100" w:type="dxa"/>
              <w:bottom w:w="100" w:type="dxa"/>
            </w:tcMar>
            <w:vAlign w:val="top"/>
          </w:tcPr>
          <w:p w14:paraId="18C88F50">
            <w:pPr>
              <w:pStyle w:val="9"/>
              <w:spacing w:line="320" w:lineRule="exact"/>
              <w:rPr>
                <w:rFonts w:hint="eastAsia" w:ascii="宋体" w:hAnsi="Courier New" w:cs="Courier New" w:eastAsiaTheme="minorEastAsia"/>
                <w:kern w:val="2"/>
                <w:sz w:val="24"/>
                <w:szCs w:val="24"/>
                <w:lang w:val="en-US" w:eastAsia="zh-CN" w:bidi="ar-SA"/>
              </w:rPr>
            </w:pPr>
            <w:r>
              <w:rPr>
                <w:rFonts w:hint="eastAsia" w:hAnsi="宋体" w:cs="宋体"/>
                <w:color w:val="auto"/>
                <w:sz w:val="24"/>
                <w:szCs w:val="24"/>
                <w:u w:val="none"/>
              </w:rPr>
              <w:t>项目组人员配备及岗位职责分工</w:t>
            </w:r>
            <w:r>
              <w:rPr>
                <w:rFonts w:hint="eastAsia" w:hAnsi="宋体" w:cs="宋体"/>
                <w:color w:val="auto"/>
                <w:sz w:val="24"/>
                <w:szCs w:val="24"/>
                <w:u w:val="none"/>
                <w:lang w:eastAsia="zh-CN"/>
              </w:rPr>
              <w:t>的</w:t>
            </w:r>
            <w:r>
              <w:rPr>
                <w:rFonts w:hint="eastAsia" w:hAnsi="宋体" w:cs="宋体"/>
                <w:color w:val="auto"/>
                <w:sz w:val="24"/>
                <w:szCs w:val="24"/>
                <w:u w:val="none"/>
              </w:rPr>
              <w:t>完整性、针对性、合理性进行打分：方案完整、针对性强、合理的得</w:t>
            </w:r>
            <w:r>
              <w:rPr>
                <w:rFonts w:hint="eastAsia" w:hAnsi="宋体" w:cs="宋体"/>
                <w:color w:val="auto"/>
                <w:sz w:val="24"/>
                <w:szCs w:val="24"/>
                <w:u w:val="none"/>
                <w:lang w:val="en-US" w:eastAsia="zh-CN"/>
              </w:rPr>
              <w:t>10</w:t>
            </w:r>
            <w:r>
              <w:rPr>
                <w:rFonts w:hint="eastAsia" w:hAnsi="宋体" w:cs="宋体"/>
                <w:color w:val="auto"/>
                <w:sz w:val="24"/>
                <w:szCs w:val="24"/>
                <w:u w:val="none"/>
              </w:rPr>
              <w:t>分；方案较完整、针对性较强、较合理的得</w:t>
            </w:r>
            <w:r>
              <w:rPr>
                <w:rFonts w:hint="eastAsia" w:hAnsi="宋体" w:cs="宋体"/>
                <w:color w:val="auto"/>
                <w:sz w:val="24"/>
                <w:szCs w:val="24"/>
                <w:u w:val="none"/>
                <w:lang w:val="en-US" w:eastAsia="zh-CN"/>
              </w:rPr>
              <w:t>7</w:t>
            </w:r>
            <w:r>
              <w:rPr>
                <w:rFonts w:hint="eastAsia" w:hAnsi="宋体" w:cs="宋体"/>
                <w:color w:val="auto"/>
                <w:sz w:val="24"/>
                <w:szCs w:val="24"/>
                <w:u w:val="none"/>
              </w:rPr>
              <w:t>分；方案</w:t>
            </w:r>
            <w:r>
              <w:rPr>
                <w:rFonts w:hint="eastAsia" w:hAnsi="宋体" w:cs="宋体"/>
                <w:color w:val="auto"/>
                <w:sz w:val="24"/>
                <w:szCs w:val="24"/>
                <w:u w:val="none"/>
                <w:lang w:val="en-US" w:eastAsia="zh-CN"/>
              </w:rPr>
              <w:t>一般</w:t>
            </w:r>
            <w:r>
              <w:rPr>
                <w:rFonts w:hint="eastAsia" w:hAnsi="宋体" w:cs="宋体"/>
                <w:color w:val="auto"/>
                <w:sz w:val="24"/>
                <w:szCs w:val="24"/>
                <w:u w:val="none"/>
              </w:rPr>
              <w:t>、针对性</w:t>
            </w:r>
            <w:r>
              <w:rPr>
                <w:rFonts w:hint="eastAsia" w:hAnsi="宋体" w:cs="宋体"/>
                <w:color w:val="auto"/>
                <w:sz w:val="24"/>
                <w:szCs w:val="24"/>
                <w:u w:val="none"/>
                <w:lang w:val="en-US" w:eastAsia="zh-CN"/>
              </w:rPr>
              <w:t>一般</w:t>
            </w:r>
            <w:r>
              <w:rPr>
                <w:rFonts w:hint="eastAsia" w:hAnsi="宋体" w:cs="宋体"/>
                <w:color w:val="auto"/>
                <w:sz w:val="24"/>
                <w:szCs w:val="24"/>
                <w:u w:val="none"/>
              </w:rPr>
              <w:t>的得</w:t>
            </w:r>
            <w:r>
              <w:rPr>
                <w:rFonts w:hint="eastAsia" w:hAnsi="宋体" w:cs="宋体"/>
                <w:color w:val="auto"/>
                <w:sz w:val="24"/>
                <w:szCs w:val="24"/>
                <w:u w:val="none"/>
                <w:lang w:val="en-US" w:eastAsia="zh-CN"/>
              </w:rPr>
              <w:t>4</w:t>
            </w:r>
            <w:r>
              <w:rPr>
                <w:rFonts w:hint="eastAsia" w:hAnsi="宋体" w:cs="宋体"/>
                <w:color w:val="auto"/>
                <w:sz w:val="24"/>
                <w:szCs w:val="24"/>
                <w:u w:val="none"/>
              </w:rPr>
              <w:t>分</w:t>
            </w:r>
            <w:r>
              <w:rPr>
                <w:rFonts w:hint="eastAsia" w:hAnsi="宋体" w:cs="宋体"/>
                <w:color w:val="auto"/>
                <w:sz w:val="24"/>
                <w:szCs w:val="24"/>
                <w:u w:val="none"/>
                <w:lang w:eastAsia="zh-CN"/>
              </w:rPr>
              <w:t>；</w:t>
            </w:r>
            <w:r>
              <w:rPr>
                <w:rFonts w:hint="eastAsia" w:hAnsi="宋体" w:cs="宋体"/>
                <w:color w:val="auto"/>
                <w:sz w:val="24"/>
                <w:szCs w:val="24"/>
                <w:u w:val="none"/>
              </w:rPr>
              <w:t>方案不完整、缺失的得</w:t>
            </w:r>
            <w:r>
              <w:rPr>
                <w:rFonts w:hint="eastAsia" w:hAnsi="宋体" w:cs="宋体"/>
                <w:color w:val="auto"/>
                <w:sz w:val="24"/>
                <w:szCs w:val="24"/>
                <w:u w:val="none"/>
                <w:lang w:val="en-US" w:eastAsia="zh-CN"/>
              </w:rPr>
              <w:t>1</w:t>
            </w:r>
            <w:r>
              <w:rPr>
                <w:rFonts w:hint="eastAsia" w:hAnsi="宋体" w:cs="宋体"/>
                <w:color w:val="auto"/>
                <w:sz w:val="24"/>
                <w:szCs w:val="24"/>
                <w:u w:val="none"/>
              </w:rPr>
              <w:t>分；无本项方案的不得分。</w:t>
            </w:r>
          </w:p>
        </w:tc>
        <w:tc>
          <w:tcPr>
            <w:tcW w:w="734" w:type="dxa"/>
            <w:tcMar>
              <w:top w:w="100" w:type="dxa"/>
              <w:bottom w:w="100" w:type="dxa"/>
            </w:tcMar>
            <w:vAlign w:val="center"/>
          </w:tcPr>
          <w:p w14:paraId="784202F2">
            <w:pPr>
              <w:widowControl/>
              <w:jc w:val="center"/>
              <w:rPr>
                <w:rFonts w:hint="default" w:ascii="宋体" w:hAnsi="宋体" w:eastAsia="宋体" w:cs="宋体"/>
                <w:kern w:val="0"/>
                <w:lang w:val="en-US" w:eastAsia="zh-CN"/>
              </w:rPr>
            </w:pPr>
            <w:r>
              <w:rPr>
                <w:rFonts w:hint="eastAsia" w:ascii="宋体" w:hAnsi="宋体" w:eastAsia="宋体" w:cs="宋体"/>
                <w:kern w:val="0"/>
                <w:lang w:val="en-US" w:eastAsia="zh-CN"/>
              </w:rPr>
              <w:t>10</w:t>
            </w:r>
          </w:p>
        </w:tc>
      </w:tr>
      <w:tr w14:paraId="2C84C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4" w:type="dxa"/>
            <w:tcMar>
              <w:top w:w="100" w:type="dxa"/>
              <w:bottom w:w="100" w:type="dxa"/>
            </w:tcMar>
            <w:vAlign w:val="center"/>
          </w:tcPr>
          <w:p w14:paraId="3471BD39">
            <w:pPr>
              <w:widowControl/>
              <w:jc w:val="center"/>
              <w:rPr>
                <w:rFonts w:hint="default" w:ascii="宋体" w:hAnsi="宋体" w:eastAsia="宋体" w:cs="宋体"/>
                <w:kern w:val="0"/>
                <w:sz w:val="24"/>
                <w:lang w:val="en-US" w:eastAsia="zh-CN"/>
              </w:rPr>
            </w:pPr>
            <w:r>
              <w:rPr>
                <w:rFonts w:hint="eastAsia" w:ascii="宋体" w:hAnsi="宋体" w:eastAsia="宋体" w:cs="宋体"/>
                <w:kern w:val="0"/>
                <w:sz w:val="24"/>
                <w:lang w:val="en-US" w:eastAsia="zh-CN"/>
              </w:rPr>
              <w:t>1.3</w:t>
            </w:r>
          </w:p>
        </w:tc>
        <w:tc>
          <w:tcPr>
            <w:tcW w:w="1288" w:type="dxa"/>
            <w:tcMar>
              <w:top w:w="100" w:type="dxa"/>
              <w:bottom w:w="100" w:type="dxa"/>
            </w:tcMar>
            <w:vAlign w:val="center"/>
          </w:tcPr>
          <w:p w14:paraId="1FDE8014">
            <w:pPr>
              <w:widowControl/>
              <w:jc w:val="center"/>
              <w:rPr>
                <w:rFonts w:hint="eastAsia" w:ascii="宋体" w:hAnsi="宋体" w:eastAsia="宋体" w:cs="宋体"/>
                <w:kern w:val="0"/>
                <w:sz w:val="24"/>
                <w:lang w:eastAsia="en-US"/>
              </w:rPr>
            </w:pPr>
            <w:r>
              <w:rPr>
                <w:rFonts w:hint="eastAsia" w:hAnsi="宋体" w:cs="宋体"/>
                <w:color w:val="auto"/>
                <w:sz w:val="24"/>
                <w:szCs w:val="24"/>
                <w:u w:val="none"/>
                <w:lang w:eastAsia="zh-CN"/>
              </w:rPr>
              <w:t>服务过程中</w:t>
            </w:r>
            <w:r>
              <w:rPr>
                <w:rFonts w:hint="eastAsia" w:hAnsi="宋体" w:cs="宋体"/>
                <w:color w:val="auto"/>
                <w:sz w:val="24"/>
                <w:szCs w:val="24"/>
                <w:u w:val="none"/>
              </w:rPr>
              <w:t>可能出现的问题及其应对措施</w:t>
            </w:r>
          </w:p>
        </w:tc>
        <w:tc>
          <w:tcPr>
            <w:tcW w:w="7040" w:type="dxa"/>
            <w:shd w:val="clear" w:color="auto" w:fill="auto"/>
            <w:tcMar>
              <w:top w:w="100" w:type="dxa"/>
              <w:bottom w:w="100" w:type="dxa"/>
            </w:tcMar>
            <w:vAlign w:val="top"/>
          </w:tcPr>
          <w:p w14:paraId="733BC232">
            <w:pPr>
              <w:pStyle w:val="9"/>
              <w:spacing w:line="320" w:lineRule="exact"/>
              <w:rPr>
                <w:rFonts w:hint="eastAsia" w:ascii="宋体" w:hAnsi="Courier New" w:cs="Courier New" w:eastAsiaTheme="minorEastAsia"/>
                <w:kern w:val="2"/>
                <w:sz w:val="24"/>
                <w:szCs w:val="24"/>
                <w:lang w:val="en-US" w:eastAsia="zh-CN" w:bidi="ar-SA"/>
              </w:rPr>
            </w:pPr>
            <w:r>
              <w:rPr>
                <w:rFonts w:hint="eastAsia" w:hAnsi="宋体" w:cs="宋体"/>
                <w:color w:val="auto"/>
                <w:sz w:val="24"/>
                <w:szCs w:val="24"/>
                <w:u w:val="none"/>
                <w:lang w:eastAsia="zh-CN"/>
              </w:rPr>
              <w:t>服务过程中</w:t>
            </w:r>
            <w:r>
              <w:rPr>
                <w:rFonts w:hint="eastAsia" w:hAnsi="宋体" w:cs="宋体"/>
                <w:color w:val="auto"/>
                <w:sz w:val="24"/>
                <w:szCs w:val="24"/>
                <w:u w:val="none"/>
              </w:rPr>
              <w:t>可能出现的问题及其应对措施</w:t>
            </w:r>
            <w:r>
              <w:rPr>
                <w:rFonts w:hint="eastAsia" w:hAnsi="宋体" w:cs="宋体"/>
                <w:color w:val="auto"/>
                <w:sz w:val="24"/>
                <w:szCs w:val="24"/>
                <w:u w:val="none"/>
                <w:lang w:eastAsia="zh-CN"/>
              </w:rPr>
              <w:t>的</w:t>
            </w:r>
            <w:r>
              <w:rPr>
                <w:rFonts w:hint="eastAsia" w:hAnsi="宋体" w:cs="宋体"/>
                <w:color w:val="auto"/>
                <w:sz w:val="24"/>
                <w:szCs w:val="24"/>
                <w:u w:val="none"/>
              </w:rPr>
              <w:t>完整性、针对性、合理性进行打分：方案完整、针对性强、合理的得</w:t>
            </w:r>
            <w:r>
              <w:rPr>
                <w:rFonts w:hint="eastAsia" w:hAnsi="宋体" w:cs="宋体"/>
                <w:color w:val="auto"/>
                <w:sz w:val="24"/>
                <w:szCs w:val="24"/>
                <w:u w:val="none"/>
                <w:lang w:val="en-US" w:eastAsia="zh-CN"/>
              </w:rPr>
              <w:t>10</w:t>
            </w:r>
            <w:r>
              <w:rPr>
                <w:rFonts w:hint="eastAsia" w:hAnsi="宋体" w:cs="宋体"/>
                <w:color w:val="auto"/>
                <w:sz w:val="24"/>
                <w:szCs w:val="24"/>
                <w:u w:val="none"/>
              </w:rPr>
              <w:t>分；方案较完整、针对性较强、较合理的得</w:t>
            </w:r>
            <w:r>
              <w:rPr>
                <w:rFonts w:hint="eastAsia" w:hAnsi="宋体" w:cs="宋体"/>
                <w:color w:val="auto"/>
                <w:sz w:val="24"/>
                <w:szCs w:val="24"/>
                <w:u w:val="none"/>
                <w:lang w:val="en-US" w:eastAsia="zh-CN"/>
              </w:rPr>
              <w:t>7</w:t>
            </w:r>
            <w:r>
              <w:rPr>
                <w:rFonts w:hint="eastAsia" w:hAnsi="宋体" w:cs="宋体"/>
                <w:color w:val="auto"/>
                <w:sz w:val="24"/>
                <w:szCs w:val="24"/>
                <w:u w:val="none"/>
              </w:rPr>
              <w:t>分；方案</w:t>
            </w:r>
            <w:r>
              <w:rPr>
                <w:rFonts w:hint="eastAsia" w:hAnsi="宋体" w:cs="宋体"/>
                <w:color w:val="auto"/>
                <w:sz w:val="24"/>
                <w:szCs w:val="24"/>
                <w:u w:val="none"/>
                <w:lang w:val="en-US" w:eastAsia="zh-CN"/>
              </w:rPr>
              <w:t>一般</w:t>
            </w:r>
            <w:r>
              <w:rPr>
                <w:rFonts w:hint="eastAsia" w:hAnsi="宋体" w:cs="宋体"/>
                <w:color w:val="auto"/>
                <w:sz w:val="24"/>
                <w:szCs w:val="24"/>
                <w:u w:val="none"/>
              </w:rPr>
              <w:t>、针对性</w:t>
            </w:r>
            <w:r>
              <w:rPr>
                <w:rFonts w:hint="eastAsia" w:hAnsi="宋体" w:cs="宋体"/>
                <w:color w:val="auto"/>
                <w:sz w:val="24"/>
                <w:szCs w:val="24"/>
                <w:u w:val="none"/>
                <w:lang w:val="en-US" w:eastAsia="zh-CN"/>
              </w:rPr>
              <w:t>一般</w:t>
            </w:r>
            <w:r>
              <w:rPr>
                <w:rFonts w:hint="eastAsia" w:hAnsi="宋体" w:cs="宋体"/>
                <w:color w:val="auto"/>
                <w:sz w:val="24"/>
                <w:szCs w:val="24"/>
                <w:u w:val="none"/>
              </w:rPr>
              <w:t>的得</w:t>
            </w:r>
            <w:r>
              <w:rPr>
                <w:rFonts w:hint="eastAsia" w:hAnsi="宋体" w:cs="宋体"/>
                <w:color w:val="auto"/>
                <w:sz w:val="24"/>
                <w:szCs w:val="24"/>
                <w:u w:val="none"/>
                <w:lang w:val="en-US" w:eastAsia="zh-CN"/>
              </w:rPr>
              <w:t>4</w:t>
            </w:r>
            <w:r>
              <w:rPr>
                <w:rFonts w:hint="eastAsia" w:hAnsi="宋体" w:cs="宋体"/>
                <w:color w:val="auto"/>
                <w:sz w:val="24"/>
                <w:szCs w:val="24"/>
                <w:u w:val="none"/>
              </w:rPr>
              <w:t>分</w:t>
            </w:r>
            <w:r>
              <w:rPr>
                <w:rFonts w:hint="eastAsia" w:hAnsi="宋体" w:cs="宋体"/>
                <w:color w:val="auto"/>
                <w:sz w:val="24"/>
                <w:szCs w:val="24"/>
                <w:u w:val="none"/>
                <w:lang w:eastAsia="zh-CN"/>
              </w:rPr>
              <w:t>；</w:t>
            </w:r>
            <w:r>
              <w:rPr>
                <w:rFonts w:hint="eastAsia" w:hAnsi="宋体" w:cs="宋体"/>
                <w:color w:val="auto"/>
                <w:sz w:val="24"/>
                <w:szCs w:val="24"/>
                <w:u w:val="none"/>
              </w:rPr>
              <w:t>方案不完整、缺失的得</w:t>
            </w:r>
            <w:r>
              <w:rPr>
                <w:rFonts w:hint="eastAsia" w:hAnsi="宋体" w:cs="宋体"/>
                <w:color w:val="auto"/>
                <w:sz w:val="24"/>
                <w:szCs w:val="24"/>
                <w:u w:val="none"/>
                <w:lang w:val="en-US" w:eastAsia="zh-CN"/>
              </w:rPr>
              <w:t>1</w:t>
            </w:r>
            <w:r>
              <w:rPr>
                <w:rFonts w:hint="eastAsia" w:hAnsi="宋体" w:cs="宋体"/>
                <w:color w:val="auto"/>
                <w:sz w:val="24"/>
                <w:szCs w:val="24"/>
                <w:u w:val="none"/>
              </w:rPr>
              <w:t>分；无本项方案的不得分。</w:t>
            </w:r>
          </w:p>
        </w:tc>
        <w:tc>
          <w:tcPr>
            <w:tcW w:w="734" w:type="dxa"/>
            <w:tcMar>
              <w:top w:w="100" w:type="dxa"/>
              <w:bottom w:w="100" w:type="dxa"/>
            </w:tcMar>
            <w:vAlign w:val="center"/>
          </w:tcPr>
          <w:p w14:paraId="0DB3BA3C">
            <w:pPr>
              <w:widowControl/>
              <w:jc w:val="center"/>
              <w:rPr>
                <w:rFonts w:hint="default" w:ascii="宋体" w:hAnsi="宋体" w:eastAsia="宋体" w:cs="宋体"/>
                <w:kern w:val="0"/>
                <w:lang w:val="en-US" w:eastAsia="zh-CN"/>
              </w:rPr>
            </w:pPr>
            <w:r>
              <w:rPr>
                <w:rFonts w:hint="eastAsia" w:ascii="宋体" w:hAnsi="宋体" w:eastAsia="宋体" w:cs="宋体"/>
                <w:kern w:val="0"/>
                <w:lang w:val="en-US" w:eastAsia="zh-CN"/>
              </w:rPr>
              <w:t>10</w:t>
            </w:r>
          </w:p>
        </w:tc>
      </w:tr>
      <w:tr w14:paraId="19CBD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4" w:type="dxa"/>
            <w:tcMar>
              <w:top w:w="100" w:type="dxa"/>
              <w:bottom w:w="100" w:type="dxa"/>
            </w:tcMar>
            <w:vAlign w:val="center"/>
          </w:tcPr>
          <w:p w14:paraId="1395878B">
            <w:pPr>
              <w:widowControl/>
              <w:jc w:val="center"/>
              <w:rPr>
                <w:rFonts w:hint="default" w:ascii="宋体" w:hAnsi="宋体" w:eastAsia="宋体" w:cs="宋体"/>
                <w:kern w:val="0"/>
                <w:sz w:val="24"/>
                <w:lang w:val="en-US" w:eastAsia="zh-CN"/>
              </w:rPr>
            </w:pPr>
            <w:r>
              <w:rPr>
                <w:rFonts w:hint="eastAsia" w:ascii="宋体" w:hAnsi="宋体" w:eastAsia="宋体" w:cs="宋体"/>
                <w:kern w:val="0"/>
                <w:sz w:val="24"/>
                <w:lang w:val="en-US" w:eastAsia="zh-CN"/>
              </w:rPr>
              <w:t>1.4</w:t>
            </w:r>
          </w:p>
        </w:tc>
        <w:tc>
          <w:tcPr>
            <w:tcW w:w="1288" w:type="dxa"/>
            <w:tcMar>
              <w:top w:w="100" w:type="dxa"/>
              <w:bottom w:w="100" w:type="dxa"/>
            </w:tcMar>
            <w:vAlign w:val="center"/>
          </w:tcPr>
          <w:p w14:paraId="10EEB9AD">
            <w:pPr>
              <w:widowControl/>
              <w:jc w:val="center"/>
              <w:rPr>
                <w:rFonts w:hint="eastAsia" w:ascii="宋体" w:hAnsi="宋体" w:eastAsia="宋体" w:cs="宋体"/>
                <w:kern w:val="0"/>
                <w:sz w:val="24"/>
                <w:lang w:eastAsia="en-US"/>
              </w:rPr>
            </w:pPr>
            <w:r>
              <w:rPr>
                <w:rFonts w:hint="eastAsia" w:hAnsi="宋体" w:cs="宋体"/>
                <w:color w:val="auto"/>
                <w:sz w:val="24"/>
                <w:szCs w:val="24"/>
                <w:u w:val="none"/>
              </w:rPr>
              <w:t>方案中质量控制、时间保证</w:t>
            </w:r>
            <w:r>
              <w:rPr>
                <w:rFonts w:hint="eastAsia" w:hAnsi="宋体" w:cs="宋体"/>
                <w:color w:val="auto"/>
                <w:sz w:val="24"/>
                <w:szCs w:val="24"/>
                <w:u w:val="none"/>
                <w:lang w:eastAsia="zh-CN"/>
              </w:rPr>
              <w:t>措施</w:t>
            </w:r>
          </w:p>
        </w:tc>
        <w:tc>
          <w:tcPr>
            <w:tcW w:w="7040" w:type="dxa"/>
            <w:shd w:val="clear" w:color="auto" w:fill="auto"/>
            <w:tcMar>
              <w:top w:w="100" w:type="dxa"/>
              <w:bottom w:w="100" w:type="dxa"/>
            </w:tcMar>
            <w:vAlign w:val="top"/>
          </w:tcPr>
          <w:p w14:paraId="2EF5AAEB">
            <w:pPr>
              <w:pStyle w:val="9"/>
              <w:spacing w:line="320" w:lineRule="exact"/>
              <w:rPr>
                <w:rFonts w:hint="eastAsia" w:ascii="宋体" w:hAnsi="Courier New" w:cs="Courier New" w:eastAsiaTheme="minorEastAsia"/>
                <w:kern w:val="2"/>
                <w:sz w:val="24"/>
                <w:szCs w:val="24"/>
                <w:lang w:val="en-US" w:eastAsia="zh-CN" w:bidi="ar-SA"/>
              </w:rPr>
            </w:pPr>
            <w:r>
              <w:rPr>
                <w:rFonts w:hint="eastAsia" w:hAnsi="宋体" w:cs="宋体"/>
                <w:color w:val="auto"/>
                <w:sz w:val="24"/>
                <w:szCs w:val="24"/>
                <w:u w:val="none"/>
              </w:rPr>
              <w:t>方案中质量控制、时间保证</w:t>
            </w:r>
            <w:r>
              <w:rPr>
                <w:rFonts w:hint="eastAsia" w:hAnsi="宋体" w:cs="宋体"/>
                <w:color w:val="auto"/>
                <w:sz w:val="24"/>
                <w:szCs w:val="24"/>
                <w:u w:val="none"/>
                <w:lang w:eastAsia="zh-CN"/>
              </w:rPr>
              <w:t>措施的</w:t>
            </w:r>
            <w:r>
              <w:rPr>
                <w:rFonts w:hint="eastAsia" w:hAnsi="宋体" w:cs="宋体"/>
                <w:color w:val="auto"/>
                <w:sz w:val="24"/>
                <w:szCs w:val="24"/>
                <w:u w:val="none"/>
              </w:rPr>
              <w:t>完整性、针对性、合理性进行打分：方案完整、针对性强、合理的得</w:t>
            </w:r>
            <w:r>
              <w:rPr>
                <w:rFonts w:hint="eastAsia" w:hAnsi="宋体" w:cs="宋体"/>
                <w:color w:val="auto"/>
                <w:sz w:val="24"/>
                <w:szCs w:val="24"/>
                <w:u w:val="none"/>
                <w:lang w:val="en-US" w:eastAsia="zh-CN"/>
              </w:rPr>
              <w:t>10</w:t>
            </w:r>
            <w:r>
              <w:rPr>
                <w:rFonts w:hint="eastAsia" w:hAnsi="宋体" w:cs="宋体"/>
                <w:color w:val="auto"/>
                <w:sz w:val="24"/>
                <w:szCs w:val="24"/>
                <w:u w:val="none"/>
              </w:rPr>
              <w:t>分；方案较完整、针对性较强、较合理的得</w:t>
            </w:r>
            <w:r>
              <w:rPr>
                <w:rFonts w:hint="eastAsia" w:hAnsi="宋体" w:cs="宋体"/>
                <w:color w:val="auto"/>
                <w:sz w:val="24"/>
                <w:szCs w:val="24"/>
                <w:u w:val="none"/>
                <w:lang w:val="en-US" w:eastAsia="zh-CN"/>
              </w:rPr>
              <w:t>7</w:t>
            </w:r>
            <w:r>
              <w:rPr>
                <w:rFonts w:hint="eastAsia" w:hAnsi="宋体" w:cs="宋体"/>
                <w:color w:val="auto"/>
                <w:sz w:val="24"/>
                <w:szCs w:val="24"/>
                <w:u w:val="none"/>
              </w:rPr>
              <w:t>分；方案</w:t>
            </w:r>
            <w:r>
              <w:rPr>
                <w:rFonts w:hint="eastAsia" w:hAnsi="宋体" w:cs="宋体"/>
                <w:color w:val="auto"/>
                <w:sz w:val="24"/>
                <w:szCs w:val="24"/>
                <w:u w:val="none"/>
                <w:lang w:val="en-US" w:eastAsia="zh-CN"/>
              </w:rPr>
              <w:t>一般</w:t>
            </w:r>
            <w:r>
              <w:rPr>
                <w:rFonts w:hint="eastAsia" w:hAnsi="宋体" w:cs="宋体"/>
                <w:color w:val="auto"/>
                <w:sz w:val="24"/>
                <w:szCs w:val="24"/>
                <w:u w:val="none"/>
              </w:rPr>
              <w:t>、针对性</w:t>
            </w:r>
            <w:r>
              <w:rPr>
                <w:rFonts w:hint="eastAsia" w:hAnsi="宋体" w:cs="宋体"/>
                <w:color w:val="auto"/>
                <w:sz w:val="24"/>
                <w:szCs w:val="24"/>
                <w:u w:val="none"/>
                <w:lang w:val="en-US" w:eastAsia="zh-CN"/>
              </w:rPr>
              <w:t>一般</w:t>
            </w:r>
            <w:r>
              <w:rPr>
                <w:rFonts w:hint="eastAsia" w:hAnsi="宋体" w:cs="宋体"/>
                <w:color w:val="auto"/>
                <w:sz w:val="24"/>
                <w:szCs w:val="24"/>
                <w:u w:val="none"/>
              </w:rPr>
              <w:t>的得</w:t>
            </w:r>
            <w:r>
              <w:rPr>
                <w:rFonts w:hint="eastAsia" w:hAnsi="宋体" w:cs="宋体"/>
                <w:color w:val="auto"/>
                <w:sz w:val="24"/>
                <w:szCs w:val="24"/>
                <w:u w:val="none"/>
                <w:lang w:val="en-US" w:eastAsia="zh-CN"/>
              </w:rPr>
              <w:t>4</w:t>
            </w:r>
            <w:r>
              <w:rPr>
                <w:rFonts w:hint="eastAsia" w:hAnsi="宋体" w:cs="宋体"/>
                <w:color w:val="auto"/>
                <w:sz w:val="24"/>
                <w:szCs w:val="24"/>
                <w:u w:val="none"/>
              </w:rPr>
              <w:t>分</w:t>
            </w:r>
            <w:r>
              <w:rPr>
                <w:rFonts w:hint="eastAsia" w:hAnsi="宋体" w:cs="宋体"/>
                <w:color w:val="auto"/>
                <w:sz w:val="24"/>
                <w:szCs w:val="24"/>
                <w:u w:val="none"/>
                <w:lang w:eastAsia="zh-CN"/>
              </w:rPr>
              <w:t>；</w:t>
            </w:r>
            <w:r>
              <w:rPr>
                <w:rFonts w:hint="eastAsia" w:hAnsi="宋体" w:cs="宋体"/>
                <w:color w:val="auto"/>
                <w:sz w:val="24"/>
                <w:szCs w:val="24"/>
                <w:u w:val="none"/>
              </w:rPr>
              <w:t>方案不完整、缺失的得</w:t>
            </w:r>
            <w:r>
              <w:rPr>
                <w:rFonts w:hint="eastAsia" w:hAnsi="宋体" w:cs="宋体"/>
                <w:color w:val="auto"/>
                <w:sz w:val="24"/>
                <w:szCs w:val="24"/>
                <w:u w:val="none"/>
                <w:lang w:val="en-US" w:eastAsia="zh-CN"/>
              </w:rPr>
              <w:t>1</w:t>
            </w:r>
            <w:r>
              <w:rPr>
                <w:rFonts w:hint="eastAsia" w:hAnsi="宋体" w:cs="宋体"/>
                <w:color w:val="auto"/>
                <w:sz w:val="24"/>
                <w:szCs w:val="24"/>
                <w:u w:val="none"/>
              </w:rPr>
              <w:t>分；无本项方案的不得分。</w:t>
            </w:r>
          </w:p>
        </w:tc>
        <w:tc>
          <w:tcPr>
            <w:tcW w:w="734" w:type="dxa"/>
            <w:tcMar>
              <w:top w:w="100" w:type="dxa"/>
              <w:bottom w:w="100" w:type="dxa"/>
            </w:tcMar>
            <w:vAlign w:val="center"/>
          </w:tcPr>
          <w:p w14:paraId="55FBF64C">
            <w:pPr>
              <w:widowControl/>
              <w:jc w:val="center"/>
              <w:rPr>
                <w:rFonts w:hint="default" w:ascii="宋体" w:hAnsi="宋体" w:eastAsia="宋体" w:cs="宋体"/>
                <w:kern w:val="0"/>
                <w:lang w:val="en-US" w:eastAsia="zh-CN"/>
              </w:rPr>
            </w:pPr>
            <w:r>
              <w:rPr>
                <w:rFonts w:hint="eastAsia" w:ascii="宋体" w:hAnsi="宋体" w:eastAsia="宋体" w:cs="宋体"/>
                <w:kern w:val="0"/>
                <w:lang w:val="en-US" w:eastAsia="zh-CN"/>
              </w:rPr>
              <w:t>10</w:t>
            </w:r>
          </w:p>
        </w:tc>
      </w:tr>
      <w:tr w14:paraId="468BB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4" w:type="dxa"/>
            <w:tcMar>
              <w:top w:w="100" w:type="dxa"/>
              <w:bottom w:w="100" w:type="dxa"/>
            </w:tcMar>
            <w:vAlign w:val="center"/>
          </w:tcPr>
          <w:p w14:paraId="5B084908">
            <w:pPr>
              <w:widowControl/>
              <w:jc w:val="center"/>
              <w:rPr>
                <w:rFonts w:hint="default" w:ascii="宋体" w:hAnsi="宋体" w:eastAsia="宋体" w:cs="宋体"/>
                <w:kern w:val="0"/>
                <w:sz w:val="24"/>
                <w:lang w:val="en-US" w:eastAsia="zh-CN"/>
              </w:rPr>
            </w:pPr>
            <w:r>
              <w:rPr>
                <w:rFonts w:hint="eastAsia" w:ascii="宋体" w:hAnsi="宋体" w:eastAsia="宋体" w:cs="宋体"/>
                <w:kern w:val="0"/>
                <w:sz w:val="24"/>
                <w:lang w:val="en-US" w:eastAsia="zh-CN"/>
              </w:rPr>
              <w:t>1.5</w:t>
            </w:r>
          </w:p>
        </w:tc>
        <w:tc>
          <w:tcPr>
            <w:tcW w:w="1288" w:type="dxa"/>
            <w:tcMar>
              <w:top w:w="100" w:type="dxa"/>
              <w:bottom w:w="100" w:type="dxa"/>
            </w:tcMar>
            <w:vAlign w:val="center"/>
          </w:tcPr>
          <w:p w14:paraId="27FFF8CB">
            <w:pPr>
              <w:widowControl/>
              <w:jc w:val="center"/>
              <w:rPr>
                <w:rFonts w:hint="eastAsia" w:ascii="宋体" w:hAnsi="宋体" w:eastAsia="宋体" w:cs="宋体"/>
                <w:kern w:val="0"/>
                <w:sz w:val="24"/>
                <w:lang w:eastAsia="en-US"/>
              </w:rPr>
            </w:pPr>
            <w:r>
              <w:rPr>
                <w:rFonts w:hint="eastAsia" w:hAnsi="宋体" w:cs="宋体"/>
                <w:color w:val="auto"/>
                <w:sz w:val="24"/>
                <w:szCs w:val="24"/>
                <w:u w:val="none"/>
              </w:rPr>
              <w:t>针对本项目</w:t>
            </w:r>
            <w:r>
              <w:rPr>
                <w:rFonts w:hint="eastAsia" w:hAnsi="宋体" w:cs="宋体"/>
                <w:color w:val="auto"/>
                <w:sz w:val="24"/>
                <w:szCs w:val="24"/>
                <w:u w:val="none"/>
                <w:lang w:eastAsia="zh-CN"/>
              </w:rPr>
              <w:t>服务承诺</w:t>
            </w:r>
          </w:p>
        </w:tc>
        <w:tc>
          <w:tcPr>
            <w:tcW w:w="7040" w:type="dxa"/>
            <w:shd w:val="clear" w:color="auto" w:fill="auto"/>
            <w:tcMar>
              <w:top w:w="100" w:type="dxa"/>
              <w:bottom w:w="100" w:type="dxa"/>
            </w:tcMar>
            <w:vAlign w:val="top"/>
          </w:tcPr>
          <w:p w14:paraId="51D706A1">
            <w:pPr>
              <w:pStyle w:val="9"/>
              <w:spacing w:line="320" w:lineRule="exact"/>
              <w:rPr>
                <w:rFonts w:hint="eastAsia" w:ascii="宋体" w:hAnsi="Courier New" w:cs="Courier New" w:eastAsiaTheme="minorEastAsia"/>
                <w:kern w:val="2"/>
                <w:sz w:val="24"/>
                <w:szCs w:val="24"/>
                <w:lang w:val="en-US" w:eastAsia="zh-CN" w:bidi="ar-SA"/>
              </w:rPr>
            </w:pPr>
            <w:r>
              <w:rPr>
                <w:rFonts w:hint="eastAsia" w:hAnsi="宋体" w:cs="宋体"/>
                <w:color w:val="auto"/>
                <w:sz w:val="24"/>
                <w:szCs w:val="24"/>
                <w:u w:val="none"/>
              </w:rPr>
              <w:t>针对本项目</w:t>
            </w:r>
            <w:r>
              <w:rPr>
                <w:rFonts w:hint="eastAsia" w:hAnsi="宋体" w:cs="宋体"/>
                <w:color w:val="auto"/>
                <w:sz w:val="24"/>
                <w:szCs w:val="24"/>
                <w:u w:val="none"/>
                <w:lang w:eastAsia="zh-CN"/>
              </w:rPr>
              <w:t>服务承诺</w:t>
            </w:r>
            <w:r>
              <w:rPr>
                <w:rFonts w:hint="eastAsia" w:hAnsi="宋体" w:cs="宋体"/>
                <w:color w:val="auto"/>
                <w:sz w:val="24"/>
                <w:szCs w:val="24"/>
                <w:u w:val="none"/>
              </w:rPr>
              <w:t>完整性、针对性、合理性进行打分：方案完整、针对性强、合理的得</w:t>
            </w:r>
            <w:r>
              <w:rPr>
                <w:rFonts w:hint="eastAsia" w:hAnsi="宋体" w:cs="宋体"/>
                <w:color w:val="auto"/>
                <w:sz w:val="24"/>
                <w:szCs w:val="24"/>
                <w:u w:val="none"/>
                <w:lang w:val="en-US" w:eastAsia="zh-CN"/>
              </w:rPr>
              <w:t>10</w:t>
            </w:r>
            <w:r>
              <w:rPr>
                <w:rFonts w:hint="eastAsia" w:hAnsi="宋体" w:cs="宋体"/>
                <w:color w:val="auto"/>
                <w:sz w:val="24"/>
                <w:szCs w:val="24"/>
                <w:u w:val="none"/>
              </w:rPr>
              <w:t>分；方案较完整、针对性较强、较合理的得</w:t>
            </w:r>
            <w:r>
              <w:rPr>
                <w:rFonts w:hint="eastAsia" w:hAnsi="宋体" w:cs="宋体"/>
                <w:color w:val="auto"/>
                <w:sz w:val="24"/>
                <w:szCs w:val="24"/>
                <w:u w:val="none"/>
                <w:lang w:val="en-US" w:eastAsia="zh-CN"/>
              </w:rPr>
              <w:t>7</w:t>
            </w:r>
            <w:r>
              <w:rPr>
                <w:rFonts w:hint="eastAsia" w:hAnsi="宋体" w:cs="宋体"/>
                <w:color w:val="auto"/>
                <w:sz w:val="24"/>
                <w:szCs w:val="24"/>
                <w:u w:val="none"/>
              </w:rPr>
              <w:t>分；方案</w:t>
            </w:r>
            <w:r>
              <w:rPr>
                <w:rFonts w:hint="eastAsia" w:hAnsi="宋体" w:cs="宋体"/>
                <w:color w:val="auto"/>
                <w:sz w:val="24"/>
                <w:szCs w:val="24"/>
                <w:u w:val="none"/>
                <w:lang w:val="en-US" w:eastAsia="zh-CN"/>
              </w:rPr>
              <w:t>一般</w:t>
            </w:r>
            <w:r>
              <w:rPr>
                <w:rFonts w:hint="eastAsia" w:hAnsi="宋体" w:cs="宋体"/>
                <w:color w:val="auto"/>
                <w:sz w:val="24"/>
                <w:szCs w:val="24"/>
                <w:u w:val="none"/>
              </w:rPr>
              <w:t>、针对性</w:t>
            </w:r>
            <w:r>
              <w:rPr>
                <w:rFonts w:hint="eastAsia" w:hAnsi="宋体" w:cs="宋体"/>
                <w:color w:val="auto"/>
                <w:sz w:val="24"/>
                <w:szCs w:val="24"/>
                <w:u w:val="none"/>
                <w:lang w:val="en-US" w:eastAsia="zh-CN"/>
              </w:rPr>
              <w:t>一般</w:t>
            </w:r>
            <w:r>
              <w:rPr>
                <w:rFonts w:hint="eastAsia" w:hAnsi="宋体" w:cs="宋体"/>
                <w:color w:val="auto"/>
                <w:sz w:val="24"/>
                <w:szCs w:val="24"/>
                <w:u w:val="none"/>
              </w:rPr>
              <w:t>的得</w:t>
            </w:r>
            <w:r>
              <w:rPr>
                <w:rFonts w:hint="eastAsia" w:hAnsi="宋体" w:cs="宋体"/>
                <w:color w:val="auto"/>
                <w:sz w:val="24"/>
                <w:szCs w:val="24"/>
                <w:u w:val="none"/>
                <w:lang w:val="en-US" w:eastAsia="zh-CN"/>
              </w:rPr>
              <w:t>4</w:t>
            </w:r>
            <w:r>
              <w:rPr>
                <w:rFonts w:hint="eastAsia" w:hAnsi="宋体" w:cs="宋体"/>
                <w:color w:val="auto"/>
                <w:sz w:val="24"/>
                <w:szCs w:val="24"/>
                <w:u w:val="none"/>
              </w:rPr>
              <w:t>分</w:t>
            </w:r>
            <w:r>
              <w:rPr>
                <w:rFonts w:hint="eastAsia" w:hAnsi="宋体" w:cs="宋体"/>
                <w:color w:val="auto"/>
                <w:sz w:val="24"/>
                <w:szCs w:val="24"/>
                <w:u w:val="none"/>
                <w:lang w:eastAsia="zh-CN"/>
              </w:rPr>
              <w:t>；</w:t>
            </w:r>
            <w:r>
              <w:rPr>
                <w:rFonts w:hint="eastAsia" w:hAnsi="宋体" w:cs="宋体"/>
                <w:color w:val="auto"/>
                <w:sz w:val="24"/>
                <w:szCs w:val="24"/>
                <w:u w:val="none"/>
              </w:rPr>
              <w:t>方案不完整、缺失的得</w:t>
            </w:r>
            <w:r>
              <w:rPr>
                <w:rFonts w:hint="eastAsia" w:hAnsi="宋体" w:cs="宋体"/>
                <w:color w:val="auto"/>
                <w:sz w:val="24"/>
                <w:szCs w:val="24"/>
                <w:u w:val="none"/>
                <w:lang w:val="en-US" w:eastAsia="zh-CN"/>
              </w:rPr>
              <w:t>1</w:t>
            </w:r>
            <w:r>
              <w:rPr>
                <w:rFonts w:hint="eastAsia" w:hAnsi="宋体" w:cs="宋体"/>
                <w:color w:val="auto"/>
                <w:sz w:val="24"/>
                <w:szCs w:val="24"/>
                <w:u w:val="none"/>
              </w:rPr>
              <w:t>分；无本项方案的不得分。</w:t>
            </w:r>
          </w:p>
        </w:tc>
        <w:tc>
          <w:tcPr>
            <w:tcW w:w="734" w:type="dxa"/>
            <w:tcMar>
              <w:top w:w="100" w:type="dxa"/>
              <w:bottom w:w="100" w:type="dxa"/>
            </w:tcMar>
            <w:vAlign w:val="center"/>
          </w:tcPr>
          <w:p w14:paraId="58334C8F">
            <w:pPr>
              <w:widowControl/>
              <w:jc w:val="center"/>
              <w:rPr>
                <w:rFonts w:hint="eastAsia" w:ascii="宋体" w:hAnsi="宋体" w:eastAsia="宋体" w:cs="宋体"/>
                <w:kern w:val="0"/>
                <w:lang w:val="en-US" w:eastAsia="zh-CN"/>
              </w:rPr>
            </w:pPr>
            <w:r>
              <w:rPr>
                <w:rFonts w:hint="eastAsia" w:ascii="宋体" w:hAnsi="宋体" w:eastAsia="宋体" w:cs="宋体"/>
                <w:kern w:val="0"/>
                <w:lang w:val="en-US" w:eastAsia="zh-CN"/>
              </w:rPr>
              <w:t>10</w:t>
            </w:r>
          </w:p>
        </w:tc>
      </w:tr>
    </w:tbl>
    <w:p w14:paraId="30E96319">
      <w:pPr>
        <w:spacing w:before="28"/>
        <w:rPr>
          <w:rFonts w:ascii="宋体" w:hAnsi="宋体" w:eastAsia="宋体" w:cs="宋体"/>
          <w:kern w:val="0"/>
        </w:rPr>
      </w:pPr>
    </w:p>
    <w:p w14:paraId="767F6089">
      <w:pPr>
        <w:spacing w:before="78" w:line="218" w:lineRule="auto"/>
        <w:rPr>
          <w:rFonts w:ascii="宋体" w:hAnsi="宋体" w:eastAsia="宋体" w:cs="宋体"/>
          <w:kern w:val="0"/>
        </w:rPr>
      </w:pPr>
      <w:r>
        <w:rPr>
          <w:rFonts w:hint="eastAsia" w:ascii="宋体" w:hAnsi="宋体" w:eastAsia="宋体" w:cs="宋体"/>
          <w:b/>
          <w:bCs/>
          <w:spacing w:val="-17"/>
          <w:kern w:val="0"/>
          <w:sz w:val="24"/>
        </w:rPr>
        <w:t>（二）商务评估</w:t>
      </w:r>
    </w:p>
    <w:p w14:paraId="24666BF8">
      <w:pPr>
        <w:spacing w:before="28"/>
        <w:rPr>
          <w:rFonts w:ascii="宋体" w:hAnsi="宋体" w:eastAsia="宋体" w:cs="宋体"/>
          <w:kern w:val="0"/>
        </w:rPr>
      </w:pPr>
    </w:p>
    <w:tbl>
      <w:tblPr>
        <w:tblStyle w:val="1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642"/>
        <w:gridCol w:w="142"/>
        <w:gridCol w:w="1134"/>
        <w:gridCol w:w="6784"/>
        <w:gridCol w:w="696"/>
      </w:tblGrid>
      <w:tr w14:paraId="7BBE4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42" w:type="dxa"/>
            <w:tcMar>
              <w:top w:w="100" w:type="dxa"/>
              <w:bottom w:w="100" w:type="dxa"/>
            </w:tcMar>
            <w:vAlign w:val="center"/>
          </w:tcPr>
          <w:p w14:paraId="0848BD66">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序号</w:t>
            </w:r>
          </w:p>
        </w:tc>
        <w:tc>
          <w:tcPr>
            <w:tcW w:w="1276" w:type="dxa"/>
            <w:gridSpan w:val="2"/>
            <w:tcMar>
              <w:top w:w="100" w:type="dxa"/>
              <w:bottom w:w="100" w:type="dxa"/>
            </w:tcMar>
            <w:vAlign w:val="center"/>
          </w:tcPr>
          <w:p w14:paraId="69969D49">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评审因素</w:t>
            </w:r>
          </w:p>
        </w:tc>
        <w:tc>
          <w:tcPr>
            <w:tcW w:w="6784" w:type="dxa"/>
            <w:tcMar>
              <w:top w:w="100" w:type="dxa"/>
              <w:bottom w:w="100" w:type="dxa"/>
            </w:tcMar>
            <w:vAlign w:val="center"/>
          </w:tcPr>
          <w:p w14:paraId="521CF24E">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评审细则</w:t>
            </w:r>
          </w:p>
        </w:tc>
        <w:tc>
          <w:tcPr>
            <w:tcW w:w="696" w:type="dxa"/>
            <w:tcMar>
              <w:top w:w="100" w:type="dxa"/>
              <w:bottom w:w="100" w:type="dxa"/>
            </w:tcMar>
            <w:vAlign w:val="center"/>
          </w:tcPr>
          <w:p w14:paraId="3B886CAF">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分值</w:t>
            </w:r>
          </w:p>
        </w:tc>
      </w:tr>
      <w:tr w14:paraId="5EC80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702" w:type="dxa"/>
            <w:gridSpan w:val="4"/>
            <w:tcMar>
              <w:top w:w="100" w:type="dxa"/>
              <w:bottom w:w="100" w:type="dxa"/>
            </w:tcMar>
            <w:vAlign w:val="center"/>
          </w:tcPr>
          <w:p w14:paraId="4CCEA024">
            <w:pPr>
              <w:widowControl/>
              <w:jc w:val="center"/>
              <w:rPr>
                <w:rFonts w:ascii="宋体" w:hAnsi="宋体" w:eastAsia="宋体" w:cs="宋体"/>
                <w:kern w:val="0"/>
                <w:sz w:val="24"/>
              </w:rPr>
            </w:pPr>
            <w:r>
              <w:rPr>
                <w:rFonts w:hint="eastAsia" w:ascii="宋体" w:hAnsi="宋体" w:eastAsia="宋体" w:cs="宋体"/>
                <w:kern w:val="0"/>
                <w:sz w:val="24"/>
              </w:rPr>
              <w:t>商务部分</w:t>
            </w:r>
          </w:p>
        </w:tc>
        <w:tc>
          <w:tcPr>
            <w:tcW w:w="696" w:type="dxa"/>
            <w:tcMar>
              <w:top w:w="100" w:type="dxa"/>
              <w:bottom w:w="100" w:type="dxa"/>
            </w:tcMar>
            <w:vAlign w:val="center"/>
          </w:tcPr>
          <w:p w14:paraId="2DE25447">
            <w:pPr>
              <w:widowControl/>
              <w:jc w:val="center"/>
              <w:rPr>
                <w:rFonts w:ascii="宋体" w:hAnsi="宋体" w:eastAsia="宋体" w:cs="宋体"/>
                <w:kern w:val="0"/>
                <w:sz w:val="24"/>
                <w:lang w:eastAsia="en-US"/>
              </w:rPr>
            </w:pPr>
            <w:r>
              <w:rPr>
                <w:rFonts w:hint="eastAsia" w:ascii="宋体" w:hAnsi="宋体" w:eastAsia="宋体" w:cs="宋体"/>
                <w:kern w:val="0"/>
                <w:sz w:val="24"/>
                <w:lang w:val="en-US" w:eastAsia="zh-CN"/>
              </w:rPr>
              <w:t>40</w:t>
            </w:r>
            <w:r>
              <w:rPr>
                <w:rFonts w:hint="eastAsia" w:ascii="宋体" w:hAnsi="宋体" w:eastAsia="宋体" w:cs="宋体"/>
                <w:kern w:val="0"/>
                <w:sz w:val="24"/>
                <w:lang w:eastAsia="en-US"/>
              </w:rPr>
              <w:t>.0</w:t>
            </w:r>
          </w:p>
        </w:tc>
      </w:tr>
      <w:tr w14:paraId="22BF9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84" w:type="dxa"/>
            <w:gridSpan w:val="2"/>
            <w:tcMar>
              <w:top w:w="100" w:type="dxa"/>
              <w:bottom w:w="100" w:type="dxa"/>
            </w:tcMar>
            <w:vAlign w:val="center"/>
          </w:tcPr>
          <w:p w14:paraId="39EAD5E9">
            <w:pPr>
              <w:widowControl/>
              <w:jc w:val="center"/>
              <w:rPr>
                <w:rFonts w:hint="default" w:ascii="宋体" w:hAnsi="宋体" w:eastAsia="宋体" w:cs="宋体"/>
                <w:kern w:val="0"/>
                <w:sz w:val="24"/>
                <w:lang w:val="en-US" w:eastAsia="zh-CN"/>
              </w:rPr>
            </w:pPr>
            <w:r>
              <w:rPr>
                <w:rFonts w:hint="eastAsia" w:ascii="宋体" w:hAnsi="宋体" w:eastAsia="宋体" w:cs="宋体"/>
                <w:kern w:val="0"/>
                <w:sz w:val="24"/>
                <w:lang w:val="en-US" w:eastAsia="zh-CN"/>
              </w:rPr>
              <w:t>2.1</w:t>
            </w:r>
          </w:p>
        </w:tc>
        <w:tc>
          <w:tcPr>
            <w:tcW w:w="1134" w:type="dxa"/>
            <w:shd w:val="clear" w:color="auto" w:fill="auto"/>
            <w:tcMar>
              <w:top w:w="100" w:type="dxa"/>
              <w:bottom w:w="100" w:type="dxa"/>
            </w:tcMar>
            <w:vAlign w:val="center"/>
          </w:tcPr>
          <w:p w14:paraId="011D3167">
            <w:pPr>
              <w:rPr>
                <w:rFonts w:hint="eastAsia" w:eastAsia="宋体" w:asciiTheme="minorHAnsi" w:hAnsiTheme="minorHAnsi" w:cstheme="minorBidi"/>
                <w:b/>
                <w:bCs/>
                <w:kern w:val="2"/>
                <w:sz w:val="24"/>
                <w:szCs w:val="24"/>
                <w:lang w:val="en-US" w:eastAsia="zh-CN" w:bidi="ar-SA"/>
              </w:rPr>
            </w:pPr>
            <w:r>
              <w:rPr>
                <w:rFonts w:hint="eastAsia"/>
                <w:b/>
                <w:bCs/>
                <w:sz w:val="24"/>
                <w:szCs w:val="24"/>
              </w:rPr>
              <w:t>人员</w:t>
            </w:r>
            <w:r>
              <w:rPr>
                <w:b/>
                <w:bCs/>
                <w:sz w:val="24"/>
                <w:szCs w:val="24"/>
              </w:rPr>
              <w:t>配置</w:t>
            </w:r>
            <w:r>
              <w:rPr>
                <w:rFonts w:hint="eastAsia"/>
                <w:b/>
                <w:bCs/>
                <w:sz w:val="24"/>
                <w:szCs w:val="24"/>
                <w:lang w:eastAsia="zh-CN"/>
              </w:rPr>
              <w:t>（</w:t>
            </w:r>
            <w:r>
              <w:rPr>
                <w:rFonts w:hint="eastAsia"/>
                <w:b/>
                <w:bCs/>
                <w:sz w:val="24"/>
                <w:szCs w:val="24"/>
                <w:lang w:val="en-US" w:eastAsia="zh-CN"/>
              </w:rPr>
              <w:t>36分</w:t>
            </w:r>
            <w:r>
              <w:rPr>
                <w:rFonts w:hint="eastAsia"/>
                <w:b/>
                <w:bCs/>
                <w:sz w:val="24"/>
                <w:szCs w:val="24"/>
                <w:lang w:eastAsia="zh-CN"/>
              </w:rPr>
              <w:t>）</w:t>
            </w:r>
          </w:p>
        </w:tc>
        <w:tc>
          <w:tcPr>
            <w:tcW w:w="6784" w:type="dxa"/>
            <w:shd w:val="clear" w:color="auto" w:fill="auto"/>
            <w:tcMar>
              <w:top w:w="100" w:type="dxa"/>
              <w:bottom w:w="100" w:type="dxa"/>
            </w:tcMar>
            <w:vAlign w:val="center"/>
          </w:tcPr>
          <w:p w14:paraId="4AFC5A3A">
            <w:pPr>
              <w:rPr>
                <w:rFonts w:hint="eastAsia"/>
                <w:sz w:val="24"/>
                <w:szCs w:val="24"/>
              </w:rPr>
            </w:pPr>
            <w:r>
              <w:rPr>
                <w:rFonts w:hint="eastAsia"/>
                <w:sz w:val="24"/>
                <w:szCs w:val="24"/>
              </w:rPr>
              <w:t>项目负责人，最多得5分：</w:t>
            </w:r>
          </w:p>
          <w:p w14:paraId="6F4B152B">
            <w:pPr>
              <w:rPr>
                <w:rFonts w:hint="eastAsia"/>
                <w:sz w:val="24"/>
                <w:szCs w:val="24"/>
              </w:rPr>
            </w:pPr>
            <w:r>
              <w:rPr>
                <w:rFonts w:hint="eastAsia"/>
                <w:sz w:val="24"/>
                <w:szCs w:val="24"/>
              </w:rPr>
              <w:t>1、项目负责人具有国家注册监理工程师的得1分；</w:t>
            </w:r>
          </w:p>
          <w:p w14:paraId="021EE6DB">
            <w:pPr>
              <w:rPr>
                <w:rFonts w:hint="eastAsia"/>
                <w:sz w:val="24"/>
                <w:szCs w:val="24"/>
              </w:rPr>
            </w:pPr>
            <w:r>
              <w:rPr>
                <w:rFonts w:hint="eastAsia"/>
                <w:sz w:val="24"/>
                <w:szCs w:val="24"/>
              </w:rPr>
              <w:t>2、项目负责人有高级及以上职称的得1分，工程师得0.5分，其余不得分；</w:t>
            </w:r>
          </w:p>
          <w:p w14:paraId="6568A691">
            <w:pPr>
              <w:rPr>
                <w:rFonts w:hint="eastAsia"/>
                <w:sz w:val="24"/>
                <w:szCs w:val="24"/>
              </w:rPr>
            </w:pPr>
            <w:r>
              <w:rPr>
                <w:rFonts w:hint="eastAsia"/>
                <w:sz w:val="24"/>
                <w:szCs w:val="24"/>
              </w:rPr>
              <w:t>3、项目负责人同时具有其他工程建设类注册执业资格（监理工程师除外）的每个加1分，最多加3分。</w:t>
            </w:r>
          </w:p>
          <w:p w14:paraId="3366129E">
            <w:pPr>
              <w:rPr>
                <w:rFonts w:hint="eastAsia" w:asciiTheme="minorHAnsi" w:hAnsiTheme="minorHAnsi" w:eastAsiaTheme="minorEastAsia" w:cstheme="minorBidi"/>
                <w:kern w:val="2"/>
                <w:sz w:val="21"/>
                <w:szCs w:val="24"/>
                <w:lang w:val="en-US" w:eastAsia="zh-CN" w:bidi="ar-SA"/>
              </w:rPr>
            </w:pPr>
            <w:r>
              <w:rPr>
                <w:rFonts w:hint="eastAsia"/>
                <w:b/>
                <w:bCs/>
                <w:sz w:val="24"/>
                <w:szCs w:val="24"/>
              </w:rPr>
              <w:t>注：工程建设类注册执业资格包括注册造价师、注册监理工程师、注册建造师及其它勘察设计类注册执业资格，以上资格如有分级，均要求一级。以上材料需提供相关证书复印件，否则不得分，同时须提供项目项目负责人</w:t>
            </w:r>
            <w:r>
              <w:rPr>
                <w:rFonts w:hint="eastAsia" w:ascii="宋体" w:hAnsi="宋体" w:eastAsia="宋体" w:cs="Times New Roman"/>
                <w:b/>
                <w:bCs/>
                <w:kern w:val="2"/>
                <w:sz w:val="24"/>
                <w:szCs w:val="24"/>
                <w:lang w:val="en-US" w:eastAsia="zh-CN" w:bidi="ar-SA"/>
              </w:rPr>
              <w:t>近半年（202</w:t>
            </w:r>
            <w:r>
              <w:rPr>
                <w:rFonts w:hint="eastAsia" w:hAnsi="宋体" w:cs="Times New Roman"/>
                <w:b/>
                <w:bCs/>
                <w:kern w:val="2"/>
                <w:sz w:val="24"/>
                <w:szCs w:val="24"/>
                <w:lang w:val="en-US" w:eastAsia="zh-CN" w:bidi="ar-SA"/>
              </w:rPr>
              <w:t>5</w:t>
            </w:r>
            <w:r>
              <w:rPr>
                <w:rFonts w:hint="eastAsia" w:ascii="宋体" w:hAnsi="宋体" w:eastAsia="宋体" w:cs="Times New Roman"/>
                <w:b/>
                <w:bCs/>
                <w:kern w:val="2"/>
                <w:sz w:val="24"/>
                <w:szCs w:val="24"/>
                <w:lang w:val="en-US" w:eastAsia="zh-CN" w:bidi="ar-SA"/>
              </w:rPr>
              <w:t>年1</w:t>
            </w:r>
            <w:r>
              <w:rPr>
                <w:rFonts w:hint="eastAsia" w:hAnsi="宋体" w:eastAsia="宋体" w:cs="Times New Roman"/>
                <w:b/>
                <w:bCs/>
                <w:kern w:val="2"/>
                <w:sz w:val="24"/>
                <w:szCs w:val="24"/>
                <w:lang w:val="en-US" w:eastAsia="zh-CN" w:bidi="ar-SA"/>
              </w:rPr>
              <w:t>1</w:t>
            </w:r>
            <w:r>
              <w:rPr>
                <w:rFonts w:hint="eastAsia" w:ascii="宋体" w:hAnsi="宋体" w:eastAsia="宋体" w:cs="Times New Roman"/>
                <w:b/>
                <w:bCs/>
                <w:kern w:val="2"/>
                <w:sz w:val="24"/>
                <w:szCs w:val="24"/>
                <w:lang w:val="en-US" w:eastAsia="zh-CN" w:bidi="ar-SA"/>
              </w:rPr>
              <w:t>月至202</w:t>
            </w:r>
            <w:r>
              <w:rPr>
                <w:rFonts w:hint="eastAsia" w:hAnsi="宋体" w:cs="Times New Roman"/>
                <w:b/>
                <w:bCs/>
                <w:kern w:val="2"/>
                <w:sz w:val="24"/>
                <w:szCs w:val="24"/>
                <w:lang w:val="en-US" w:eastAsia="zh-CN" w:bidi="ar-SA"/>
              </w:rPr>
              <w:t>6</w:t>
            </w:r>
            <w:r>
              <w:rPr>
                <w:rFonts w:hint="eastAsia" w:ascii="宋体" w:hAnsi="宋体" w:eastAsia="宋体" w:cs="Times New Roman"/>
                <w:b/>
                <w:bCs/>
                <w:kern w:val="2"/>
                <w:sz w:val="24"/>
                <w:szCs w:val="24"/>
                <w:lang w:val="en-US" w:eastAsia="zh-CN" w:bidi="ar-SA"/>
              </w:rPr>
              <w:t>年</w:t>
            </w:r>
            <w:r>
              <w:rPr>
                <w:rFonts w:hint="eastAsia" w:hAnsi="宋体" w:eastAsia="宋体" w:cs="Times New Roman"/>
                <w:b/>
                <w:bCs/>
                <w:kern w:val="2"/>
                <w:sz w:val="24"/>
                <w:szCs w:val="24"/>
                <w:lang w:val="en-US" w:eastAsia="zh-CN" w:bidi="ar-SA"/>
              </w:rPr>
              <w:t>4</w:t>
            </w:r>
            <w:r>
              <w:rPr>
                <w:rFonts w:hint="eastAsia" w:ascii="宋体" w:hAnsi="宋体" w:eastAsia="宋体" w:cs="Times New Roman"/>
                <w:b/>
                <w:bCs/>
                <w:kern w:val="2"/>
                <w:sz w:val="24"/>
                <w:szCs w:val="24"/>
                <w:lang w:val="en-US" w:eastAsia="zh-CN" w:bidi="ar-SA"/>
              </w:rPr>
              <w:t>月）任意一个月的</w:t>
            </w:r>
            <w:r>
              <w:rPr>
                <w:rFonts w:hint="eastAsia"/>
                <w:b/>
                <w:bCs/>
                <w:sz w:val="24"/>
                <w:szCs w:val="24"/>
                <w:highlight w:val="none"/>
              </w:rPr>
              <w:t>养老保险缴费记录。</w:t>
            </w:r>
          </w:p>
        </w:tc>
        <w:tc>
          <w:tcPr>
            <w:tcW w:w="696" w:type="dxa"/>
            <w:shd w:val="clear" w:color="auto" w:fill="auto"/>
            <w:tcMar>
              <w:top w:w="100" w:type="dxa"/>
              <w:bottom w:w="100" w:type="dxa"/>
            </w:tcMar>
            <w:vAlign w:val="center"/>
          </w:tcPr>
          <w:p w14:paraId="70525CD0">
            <w:pPr>
              <w:jc w:val="center"/>
              <w:rPr>
                <w:rFonts w:hint="eastAsia" w:eastAsia="宋体" w:asciiTheme="minorHAnsi" w:hAnsiTheme="minorHAnsi" w:cstheme="minorBidi"/>
                <w:kern w:val="2"/>
                <w:sz w:val="24"/>
                <w:szCs w:val="24"/>
                <w:lang w:val="en-US" w:eastAsia="en-US" w:bidi="ar-SA"/>
              </w:rPr>
            </w:pPr>
            <w:r>
              <w:rPr>
                <w:rFonts w:hint="eastAsia"/>
                <w:sz w:val="24"/>
                <w:szCs w:val="24"/>
                <w:lang w:val="en-US" w:eastAsia="zh-CN"/>
              </w:rPr>
              <w:t>5</w:t>
            </w:r>
          </w:p>
        </w:tc>
      </w:tr>
      <w:tr w14:paraId="4648D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84" w:type="dxa"/>
            <w:gridSpan w:val="2"/>
            <w:tcMar>
              <w:top w:w="100" w:type="dxa"/>
              <w:bottom w:w="100" w:type="dxa"/>
            </w:tcMar>
            <w:vAlign w:val="center"/>
          </w:tcPr>
          <w:p w14:paraId="2A0BB917">
            <w:pPr>
              <w:widowControl/>
              <w:jc w:val="center"/>
              <w:rPr>
                <w:rFonts w:hint="default" w:ascii="宋体" w:hAnsi="宋体" w:eastAsia="宋体" w:cs="宋体"/>
                <w:kern w:val="0"/>
                <w:sz w:val="24"/>
                <w:lang w:val="en-US" w:eastAsia="zh-CN"/>
              </w:rPr>
            </w:pPr>
            <w:r>
              <w:rPr>
                <w:rFonts w:hint="eastAsia" w:ascii="宋体" w:hAnsi="宋体" w:eastAsia="宋体" w:cs="宋体"/>
                <w:kern w:val="0"/>
                <w:sz w:val="24"/>
                <w:lang w:val="en-US" w:eastAsia="zh-CN"/>
              </w:rPr>
              <w:t>2.2</w:t>
            </w:r>
          </w:p>
        </w:tc>
        <w:tc>
          <w:tcPr>
            <w:tcW w:w="1134" w:type="dxa"/>
            <w:tcMar>
              <w:top w:w="100" w:type="dxa"/>
              <w:bottom w:w="100" w:type="dxa"/>
            </w:tcMar>
            <w:vAlign w:val="center"/>
          </w:tcPr>
          <w:p w14:paraId="1EC8628D">
            <w:pPr>
              <w:ind w:firstLine="28"/>
              <w:jc w:val="center"/>
              <w:rPr>
                <w:rFonts w:hint="eastAsia" w:ascii="宋体" w:hAnsi="宋体" w:eastAsia="宋体" w:cs="宋体"/>
                <w:kern w:val="0"/>
                <w:sz w:val="24"/>
                <w:szCs w:val="24"/>
                <w:u w:val="none"/>
              </w:rPr>
            </w:pPr>
          </w:p>
        </w:tc>
        <w:tc>
          <w:tcPr>
            <w:tcW w:w="6784" w:type="dxa"/>
            <w:shd w:val="clear" w:color="auto" w:fill="auto"/>
            <w:tcMar>
              <w:top w:w="100" w:type="dxa"/>
              <w:bottom w:w="100" w:type="dxa"/>
            </w:tcMar>
            <w:vAlign w:val="top"/>
          </w:tcPr>
          <w:p w14:paraId="12860B24">
            <w:pPr>
              <w:pStyle w:val="9"/>
              <w:spacing w:line="320" w:lineRule="exact"/>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1、</w:t>
            </w:r>
            <w:r>
              <w:rPr>
                <w:rFonts w:hint="eastAsia" w:hAnsi="宋体" w:cs="Times New Roman"/>
                <w:kern w:val="2"/>
                <w:sz w:val="24"/>
                <w:szCs w:val="24"/>
                <w:lang w:val="en-US" w:eastAsia="zh-CN" w:bidi="ar-SA"/>
              </w:rPr>
              <w:t>其他项目组成员</w:t>
            </w:r>
            <w:r>
              <w:rPr>
                <w:rFonts w:hint="eastAsia" w:ascii="宋体" w:hAnsi="宋体" w:eastAsia="宋体" w:cs="Times New Roman"/>
                <w:kern w:val="2"/>
                <w:sz w:val="24"/>
                <w:szCs w:val="24"/>
                <w:lang w:val="en-US" w:eastAsia="zh-CN" w:bidi="ar-SA"/>
              </w:rPr>
              <w:t>（项目负责人除外），最多得</w:t>
            </w:r>
            <w:r>
              <w:rPr>
                <w:rFonts w:hint="eastAsia" w:hAnsi="宋体" w:cs="Times New Roman"/>
                <w:kern w:val="2"/>
                <w:sz w:val="24"/>
                <w:szCs w:val="24"/>
                <w:lang w:val="en-US" w:eastAsia="zh-CN" w:bidi="ar-SA"/>
              </w:rPr>
              <w:t>31</w:t>
            </w:r>
            <w:r>
              <w:rPr>
                <w:rFonts w:hint="eastAsia" w:ascii="宋体" w:hAnsi="宋体" w:eastAsia="宋体" w:cs="Times New Roman"/>
                <w:kern w:val="2"/>
                <w:sz w:val="24"/>
                <w:szCs w:val="24"/>
                <w:lang w:val="en-US" w:eastAsia="zh-CN" w:bidi="ar-SA"/>
              </w:rPr>
              <w:t>分：</w:t>
            </w:r>
          </w:p>
          <w:p w14:paraId="1AC2C912">
            <w:pPr>
              <w:pStyle w:val="9"/>
              <w:spacing w:line="320" w:lineRule="exact"/>
              <w:rPr>
                <w:rFonts w:hint="eastAsia" w:ascii="宋体" w:hAnsi="宋体" w:eastAsia="宋体" w:cs="Times New Roman"/>
                <w:kern w:val="2"/>
                <w:sz w:val="24"/>
                <w:szCs w:val="24"/>
                <w:lang w:val="en-US" w:eastAsia="zh-CN" w:bidi="ar-SA"/>
              </w:rPr>
            </w:pPr>
            <w:r>
              <w:rPr>
                <w:rFonts w:hint="eastAsia" w:ascii="宋体" w:hAnsi="宋体" w:eastAsia="宋体" w:cs="Times New Roman"/>
                <w:b/>
                <w:bCs/>
                <w:kern w:val="2"/>
                <w:sz w:val="24"/>
                <w:szCs w:val="24"/>
                <w:lang w:val="en-US" w:eastAsia="zh-CN" w:bidi="ar-SA"/>
              </w:rPr>
              <w:t>（1）报批报建专员1名：</w:t>
            </w:r>
            <w:r>
              <w:rPr>
                <w:rFonts w:hint="eastAsia" w:ascii="宋体" w:hAnsi="宋体" w:eastAsia="宋体" w:cs="Times New Roman"/>
                <w:kern w:val="2"/>
                <w:sz w:val="24"/>
                <w:szCs w:val="24"/>
                <w:lang w:val="en-US" w:eastAsia="zh-CN" w:bidi="ar-SA"/>
              </w:rPr>
              <w:t>具有国家注册监理工程师的得</w:t>
            </w:r>
            <w:r>
              <w:rPr>
                <w:rFonts w:hint="eastAsia" w:hAnsi="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分；同时具有一级注册造价工程师的加</w:t>
            </w:r>
            <w:r>
              <w:rPr>
                <w:rFonts w:hint="eastAsia"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分；同时具有建设工程类高级及以上职称的加</w:t>
            </w:r>
            <w:r>
              <w:rPr>
                <w:rFonts w:hint="eastAsia"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分，同时具有建设工程类中级职称的加</w:t>
            </w:r>
            <w:r>
              <w:rPr>
                <w:rFonts w:hint="eastAsia" w:hAnsi="宋体" w:eastAsia="宋体" w:cs="Times New Roman"/>
                <w:kern w:val="2"/>
                <w:sz w:val="24"/>
                <w:szCs w:val="24"/>
                <w:lang w:val="en-US" w:eastAsia="zh-CN" w:bidi="ar-SA"/>
              </w:rPr>
              <w:t>0.5</w:t>
            </w:r>
            <w:r>
              <w:rPr>
                <w:rFonts w:hint="eastAsia" w:ascii="宋体" w:hAnsi="宋体" w:eastAsia="宋体" w:cs="Times New Roman"/>
                <w:kern w:val="2"/>
                <w:sz w:val="24"/>
                <w:szCs w:val="24"/>
                <w:lang w:val="en-US" w:eastAsia="zh-CN" w:bidi="ar-SA"/>
              </w:rPr>
              <w:t>分；本项满分</w:t>
            </w:r>
            <w:r>
              <w:rPr>
                <w:rFonts w:hint="eastAsia" w:hAnsi="宋体" w:eastAsia="宋体" w:cs="Times New Roman"/>
                <w:kern w:val="2"/>
                <w:sz w:val="24"/>
                <w:szCs w:val="24"/>
                <w:lang w:val="en-US" w:eastAsia="zh-CN" w:bidi="ar-SA"/>
              </w:rPr>
              <w:t>3</w:t>
            </w:r>
            <w:r>
              <w:rPr>
                <w:rFonts w:hint="eastAsia" w:ascii="宋体" w:hAnsi="宋体" w:eastAsia="宋体" w:cs="Times New Roman"/>
                <w:kern w:val="2"/>
                <w:sz w:val="24"/>
                <w:szCs w:val="24"/>
                <w:lang w:val="en-US" w:eastAsia="zh-CN" w:bidi="ar-SA"/>
              </w:rPr>
              <w:t>分。（提供注册证书，以本单位注册证书为准；职称以职称证书为准，要求必须是建设工程类专业技术职称。）</w:t>
            </w:r>
          </w:p>
          <w:p w14:paraId="35CD6070">
            <w:pPr>
              <w:pStyle w:val="9"/>
              <w:spacing w:line="320" w:lineRule="exact"/>
              <w:rPr>
                <w:rFonts w:hint="eastAsia" w:ascii="宋体" w:hAnsi="宋体" w:eastAsia="宋体" w:cs="Times New Roman"/>
                <w:kern w:val="2"/>
                <w:sz w:val="24"/>
                <w:szCs w:val="24"/>
                <w:lang w:val="en-US" w:eastAsia="zh-CN" w:bidi="ar-SA"/>
              </w:rPr>
            </w:pPr>
            <w:r>
              <w:rPr>
                <w:rFonts w:hint="eastAsia" w:ascii="宋体" w:hAnsi="宋体" w:eastAsia="宋体" w:cs="Times New Roman"/>
                <w:b/>
                <w:bCs/>
                <w:kern w:val="2"/>
                <w:sz w:val="24"/>
                <w:szCs w:val="24"/>
                <w:lang w:val="en-US" w:eastAsia="zh-CN" w:bidi="ar-SA"/>
              </w:rPr>
              <w:t>（2）施工管理专员2名：</w:t>
            </w:r>
            <w:r>
              <w:rPr>
                <w:rFonts w:hint="eastAsia" w:ascii="宋体" w:hAnsi="宋体" w:eastAsia="宋体" w:cs="Times New Roman"/>
                <w:kern w:val="2"/>
                <w:sz w:val="24"/>
                <w:szCs w:val="24"/>
                <w:lang w:val="en-US" w:eastAsia="zh-CN" w:bidi="ar-SA"/>
              </w:rPr>
              <w:t>具有国家注册监理工程师的得</w:t>
            </w:r>
            <w:r>
              <w:rPr>
                <w:rFonts w:hint="eastAsia"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分/人；同时具有一级注册造价工程师的加</w:t>
            </w:r>
            <w:r>
              <w:rPr>
                <w:rFonts w:hint="eastAsia"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分/人；同时具有建设工程类高级及以上职称的加</w:t>
            </w:r>
            <w:r>
              <w:rPr>
                <w:rFonts w:hint="eastAsia"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分/人，同时具有建设工程类中级职称的加0.</w:t>
            </w:r>
            <w:r>
              <w:rPr>
                <w:rFonts w:hint="eastAsia" w:hAnsi="宋体" w:eastAsia="宋体" w:cs="Times New Roman"/>
                <w:kern w:val="2"/>
                <w:sz w:val="24"/>
                <w:szCs w:val="24"/>
                <w:lang w:val="en-US" w:eastAsia="zh-CN" w:bidi="ar-SA"/>
              </w:rPr>
              <w:t>5</w:t>
            </w:r>
            <w:r>
              <w:rPr>
                <w:rFonts w:hint="eastAsia" w:ascii="宋体" w:hAnsi="宋体" w:eastAsia="宋体" w:cs="Times New Roman"/>
                <w:kern w:val="2"/>
                <w:sz w:val="24"/>
                <w:szCs w:val="24"/>
                <w:lang w:val="en-US" w:eastAsia="zh-CN" w:bidi="ar-SA"/>
              </w:rPr>
              <w:t>分/人；本项满分</w:t>
            </w:r>
            <w:r>
              <w:rPr>
                <w:rFonts w:hint="eastAsia" w:hAnsi="宋体" w:eastAsia="宋体" w:cs="Times New Roman"/>
                <w:kern w:val="2"/>
                <w:sz w:val="24"/>
                <w:szCs w:val="24"/>
                <w:lang w:val="en-US" w:eastAsia="zh-CN" w:bidi="ar-SA"/>
              </w:rPr>
              <w:t>6</w:t>
            </w:r>
            <w:r>
              <w:rPr>
                <w:rFonts w:hint="eastAsia" w:ascii="宋体" w:hAnsi="宋体" w:eastAsia="宋体" w:cs="Times New Roman"/>
                <w:kern w:val="2"/>
                <w:sz w:val="24"/>
                <w:szCs w:val="24"/>
                <w:lang w:val="en-US" w:eastAsia="zh-CN" w:bidi="ar-SA"/>
              </w:rPr>
              <w:t>分。（提供注册证书，以本单位注册证书为准；职称以职称证书为准，要求必须是建设工程类专业技术职称。）</w:t>
            </w:r>
          </w:p>
          <w:p w14:paraId="402F3046">
            <w:pPr>
              <w:pStyle w:val="9"/>
              <w:spacing w:line="320" w:lineRule="exact"/>
              <w:rPr>
                <w:rFonts w:hint="eastAsia" w:ascii="宋体" w:hAnsi="宋体" w:eastAsia="宋体" w:cs="Times New Roman"/>
                <w:kern w:val="2"/>
                <w:sz w:val="24"/>
                <w:szCs w:val="24"/>
                <w:lang w:val="en-US" w:eastAsia="zh-CN" w:bidi="ar-SA"/>
              </w:rPr>
            </w:pPr>
            <w:r>
              <w:rPr>
                <w:rFonts w:hint="eastAsia" w:ascii="宋体" w:hAnsi="宋体" w:eastAsia="宋体" w:cs="Times New Roman"/>
                <w:b/>
                <w:bCs/>
                <w:kern w:val="2"/>
                <w:sz w:val="24"/>
                <w:szCs w:val="24"/>
                <w:lang w:val="en-US" w:eastAsia="zh-CN" w:bidi="ar-SA"/>
              </w:rPr>
              <w:t>（</w:t>
            </w:r>
            <w:r>
              <w:rPr>
                <w:rFonts w:hint="eastAsia" w:hAnsi="宋体" w:cs="Times New Roman"/>
                <w:b/>
                <w:bCs/>
                <w:kern w:val="2"/>
                <w:sz w:val="24"/>
                <w:szCs w:val="24"/>
                <w:lang w:val="en-US" w:eastAsia="zh-CN" w:bidi="ar-SA"/>
              </w:rPr>
              <w:t>3</w:t>
            </w:r>
            <w:r>
              <w:rPr>
                <w:rFonts w:hint="eastAsia" w:ascii="宋体" w:hAnsi="宋体" w:eastAsia="宋体" w:cs="Times New Roman"/>
                <w:b/>
                <w:bCs/>
                <w:kern w:val="2"/>
                <w:sz w:val="24"/>
                <w:szCs w:val="24"/>
                <w:lang w:val="en-US" w:eastAsia="zh-CN" w:bidi="ar-SA"/>
              </w:rPr>
              <w:t>）给排水专业人员</w:t>
            </w:r>
            <w:r>
              <w:rPr>
                <w:rFonts w:hint="eastAsia" w:hAnsi="宋体" w:cs="Times New Roman"/>
                <w:b/>
                <w:bCs/>
                <w:kern w:val="2"/>
                <w:sz w:val="24"/>
                <w:szCs w:val="24"/>
                <w:lang w:val="en-US" w:eastAsia="zh-CN" w:bidi="ar-SA"/>
              </w:rPr>
              <w:t>2</w:t>
            </w:r>
            <w:r>
              <w:rPr>
                <w:rFonts w:hint="eastAsia" w:ascii="宋体" w:hAnsi="宋体" w:eastAsia="宋体" w:cs="Times New Roman"/>
                <w:b/>
                <w:bCs/>
                <w:kern w:val="2"/>
                <w:sz w:val="24"/>
                <w:szCs w:val="24"/>
                <w:lang w:val="en-US" w:eastAsia="zh-CN" w:bidi="ar-SA"/>
              </w:rPr>
              <w:t>名</w:t>
            </w:r>
            <w:r>
              <w:rPr>
                <w:rFonts w:hint="eastAsia" w:ascii="宋体" w:hAnsi="宋体" w:eastAsia="宋体" w:cs="Times New Roman"/>
                <w:kern w:val="2"/>
                <w:sz w:val="24"/>
                <w:szCs w:val="24"/>
                <w:lang w:val="en-US" w:eastAsia="zh-CN" w:bidi="ar-SA"/>
              </w:rPr>
              <w:t>：具有国家注册监理工程师的得</w:t>
            </w:r>
            <w:r>
              <w:rPr>
                <w:rFonts w:hint="eastAsia"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分/人；同时具有一级注册造价工程师的加</w:t>
            </w:r>
            <w:r>
              <w:rPr>
                <w:rFonts w:hint="eastAsia"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分/人；同时具有建设工程类高级及以上职称的加</w:t>
            </w:r>
            <w:r>
              <w:rPr>
                <w:rFonts w:hint="eastAsia"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分/人，同时具有建设工程类中级职称的加</w:t>
            </w:r>
            <w:r>
              <w:rPr>
                <w:rFonts w:hint="eastAsia" w:hAnsi="宋体" w:eastAsia="宋体" w:cs="Times New Roman"/>
                <w:kern w:val="2"/>
                <w:sz w:val="24"/>
                <w:szCs w:val="24"/>
                <w:lang w:val="en-US" w:eastAsia="zh-CN" w:bidi="ar-SA"/>
              </w:rPr>
              <w:t>0.5</w:t>
            </w:r>
            <w:r>
              <w:rPr>
                <w:rFonts w:hint="eastAsia" w:ascii="宋体" w:hAnsi="宋体" w:eastAsia="宋体" w:cs="Times New Roman"/>
                <w:kern w:val="2"/>
                <w:sz w:val="24"/>
                <w:szCs w:val="24"/>
                <w:lang w:val="en-US" w:eastAsia="zh-CN" w:bidi="ar-SA"/>
              </w:rPr>
              <w:t>分/人；本项满分</w:t>
            </w:r>
            <w:r>
              <w:rPr>
                <w:rFonts w:hint="eastAsia" w:hAnsi="宋体" w:cs="Times New Roman"/>
                <w:kern w:val="2"/>
                <w:sz w:val="24"/>
                <w:szCs w:val="24"/>
                <w:lang w:val="en-US" w:eastAsia="zh-CN" w:bidi="ar-SA"/>
              </w:rPr>
              <w:t>6</w:t>
            </w:r>
            <w:r>
              <w:rPr>
                <w:rFonts w:hint="eastAsia" w:ascii="宋体" w:hAnsi="宋体" w:eastAsia="宋体" w:cs="Times New Roman"/>
                <w:kern w:val="2"/>
                <w:sz w:val="24"/>
                <w:szCs w:val="24"/>
                <w:lang w:val="en-US" w:eastAsia="zh-CN" w:bidi="ar-SA"/>
              </w:rPr>
              <w:t>分。（提供注册证书，以本单位注册证书为准；职称以职称证书为准，要求必须是建设工程类专业技术职称；专业以注册监理工程师证书注明的所学专业为准，新版国家注册监理工程师无所学专业一栏的，所学专业以毕业证书上为准。）</w:t>
            </w:r>
          </w:p>
          <w:p w14:paraId="0D4B5313">
            <w:pPr>
              <w:pStyle w:val="9"/>
              <w:spacing w:line="320" w:lineRule="exact"/>
              <w:rPr>
                <w:rFonts w:hint="eastAsia" w:ascii="宋体" w:hAnsi="宋体" w:eastAsia="宋体" w:cs="Times New Roman"/>
                <w:kern w:val="2"/>
                <w:sz w:val="24"/>
                <w:szCs w:val="24"/>
                <w:lang w:val="en-US" w:eastAsia="zh-CN" w:bidi="ar-SA"/>
              </w:rPr>
            </w:pPr>
            <w:r>
              <w:rPr>
                <w:rFonts w:hint="eastAsia" w:hAnsi="宋体" w:cs="Times New Roman"/>
                <w:b/>
                <w:bCs/>
                <w:kern w:val="2"/>
                <w:sz w:val="24"/>
                <w:szCs w:val="24"/>
                <w:lang w:val="en-US" w:eastAsia="zh-CN" w:bidi="ar-SA"/>
              </w:rPr>
              <w:t>（4）工程管理专业人员2名：</w:t>
            </w:r>
            <w:r>
              <w:rPr>
                <w:rFonts w:hint="eastAsia" w:ascii="宋体" w:hAnsi="宋体" w:eastAsia="宋体" w:cs="Times New Roman"/>
                <w:kern w:val="2"/>
                <w:sz w:val="24"/>
                <w:szCs w:val="24"/>
                <w:lang w:val="en-US" w:eastAsia="zh-CN" w:bidi="ar-SA"/>
              </w:rPr>
              <w:t>具有国家注册监理工程师的得</w:t>
            </w:r>
            <w:r>
              <w:rPr>
                <w:rFonts w:hint="eastAsia"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分/人；同时具有一级注册造价工程师的加</w:t>
            </w:r>
            <w:r>
              <w:rPr>
                <w:rFonts w:hint="eastAsia"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分/人；同时具有建设工程类高级及以上职称的加</w:t>
            </w:r>
            <w:r>
              <w:rPr>
                <w:rFonts w:hint="eastAsia"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分/人，同时具有建设工程类中级职称的加</w:t>
            </w:r>
            <w:r>
              <w:rPr>
                <w:rFonts w:hint="eastAsia" w:hAnsi="宋体" w:eastAsia="宋体" w:cs="Times New Roman"/>
                <w:kern w:val="2"/>
                <w:sz w:val="24"/>
                <w:szCs w:val="24"/>
                <w:lang w:val="en-US" w:eastAsia="zh-CN" w:bidi="ar-SA"/>
              </w:rPr>
              <w:t>0.5</w:t>
            </w:r>
            <w:r>
              <w:rPr>
                <w:rFonts w:hint="eastAsia" w:ascii="宋体" w:hAnsi="宋体" w:eastAsia="宋体" w:cs="Times New Roman"/>
                <w:kern w:val="2"/>
                <w:sz w:val="24"/>
                <w:szCs w:val="24"/>
                <w:lang w:val="en-US" w:eastAsia="zh-CN" w:bidi="ar-SA"/>
              </w:rPr>
              <w:t>分/人；本项满分</w:t>
            </w:r>
            <w:r>
              <w:rPr>
                <w:rFonts w:hint="eastAsia" w:hAnsi="宋体" w:cs="Times New Roman"/>
                <w:kern w:val="2"/>
                <w:sz w:val="24"/>
                <w:szCs w:val="24"/>
                <w:lang w:val="en-US" w:eastAsia="zh-CN" w:bidi="ar-SA"/>
              </w:rPr>
              <w:t>6</w:t>
            </w:r>
            <w:r>
              <w:rPr>
                <w:rFonts w:hint="eastAsia" w:ascii="宋体" w:hAnsi="宋体" w:eastAsia="宋体" w:cs="Times New Roman"/>
                <w:kern w:val="2"/>
                <w:sz w:val="24"/>
                <w:szCs w:val="24"/>
                <w:lang w:val="en-US" w:eastAsia="zh-CN" w:bidi="ar-SA"/>
              </w:rPr>
              <w:t>分。（提供注册证书，以本单位注册证书为准；职称以职称证书为准，要求必须是建设工程类专业技术职称；专业以注册监理工程师证书注明的所学专业为准，新版国家注册监理工程师无所学专业一栏的，所学专业以毕业证书上为准。）</w:t>
            </w:r>
          </w:p>
          <w:p w14:paraId="3867B841">
            <w:pPr>
              <w:pStyle w:val="9"/>
              <w:spacing w:line="320" w:lineRule="exact"/>
              <w:rPr>
                <w:rFonts w:hint="eastAsia" w:ascii="宋体" w:hAnsi="宋体" w:eastAsia="宋体" w:cs="Times New Roman"/>
                <w:kern w:val="2"/>
                <w:sz w:val="24"/>
                <w:szCs w:val="24"/>
                <w:lang w:val="en-US" w:eastAsia="zh-CN" w:bidi="ar-SA"/>
              </w:rPr>
            </w:pPr>
            <w:r>
              <w:rPr>
                <w:rFonts w:hint="eastAsia" w:ascii="宋体" w:hAnsi="宋体" w:eastAsia="宋体" w:cs="Times New Roman"/>
                <w:b/>
                <w:bCs/>
                <w:kern w:val="2"/>
                <w:sz w:val="24"/>
                <w:szCs w:val="24"/>
                <w:lang w:val="en-US" w:eastAsia="zh-CN" w:bidi="ar-SA"/>
              </w:rPr>
              <w:t>（</w:t>
            </w:r>
            <w:r>
              <w:rPr>
                <w:rFonts w:hint="eastAsia" w:hAnsi="宋体" w:cs="Times New Roman"/>
                <w:b/>
                <w:bCs/>
                <w:kern w:val="2"/>
                <w:sz w:val="24"/>
                <w:szCs w:val="24"/>
                <w:lang w:val="en-US" w:eastAsia="zh-CN" w:bidi="ar-SA"/>
              </w:rPr>
              <w:t>5</w:t>
            </w:r>
            <w:r>
              <w:rPr>
                <w:rFonts w:hint="eastAsia" w:ascii="宋体" w:hAnsi="宋体" w:eastAsia="宋体" w:cs="Times New Roman"/>
                <w:b/>
                <w:bCs/>
                <w:kern w:val="2"/>
                <w:sz w:val="24"/>
                <w:szCs w:val="24"/>
                <w:lang w:val="en-US" w:eastAsia="zh-CN" w:bidi="ar-SA"/>
              </w:rPr>
              <w:t>）机电技术应用或机电安装专业人员1名</w:t>
            </w:r>
            <w:r>
              <w:rPr>
                <w:rFonts w:hint="eastAsia" w:ascii="宋体" w:hAnsi="宋体" w:eastAsia="宋体" w:cs="Times New Roman"/>
                <w:kern w:val="2"/>
                <w:sz w:val="24"/>
                <w:szCs w:val="24"/>
                <w:lang w:val="en-US" w:eastAsia="zh-CN" w:bidi="ar-SA"/>
              </w:rPr>
              <w:t>：具有国家注册监理工程师的得</w:t>
            </w:r>
            <w:r>
              <w:rPr>
                <w:rFonts w:hint="eastAsia"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分；同时具有一级注册造价工程师的加</w:t>
            </w:r>
            <w:r>
              <w:rPr>
                <w:rFonts w:hint="eastAsia"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分；同时具有建设工程类高级及以上职称的加</w:t>
            </w:r>
            <w:r>
              <w:rPr>
                <w:rFonts w:hint="eastAsia"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分，同时具有建设工程类中级职称的加</w:t>
            </w:r>
            <w:r>
              <w:rPr>
                <w:rFonts w:hint="eastAsia" w:hAnsi="宋体" w:eastAsia="宋体" w:cs="Times New Roman"/>
                <w:kern w:val="2"/>
                <w:sz w:val="24"/>
                <w:szCs w:val="24"/>
                <w:lang w:val="en-US" w:eastAsia="zh-CN" w:bidi="ar-SA"/>
              </w:rPr>
              <w:t>0.5</w:t>
            </w:r>
            <w:r>
              <w:rPr>
                <w:rFonts w:hint="eastAsia" w:ascii="宋体" w:hAnsi="宋体" w:eastAsia="宋体" w:cs="Times New Roman"/>
                <w:kern w:val="2"/>
                <w:sz w:val="24"/>
                <w:szCs w:val="24"/>
                <w:lang w:val="en-US" w:eastAsia="zh-CN" w:bidi="ar-SA"/>
              </w:rPr>
              <w:t>分；本项满分</w:t>
            </w:r>
            <w:r>
              <w:rPr>
                <w:rFonts w:hint="eastAsia" w:hAnsi="宋体" w:cs="Times New Roman"/>
                <w:kern w:val="2"/>
                <w:sz w:val="24"/>
                <w:szCs w:val="24"/>
                <w:lang w:val="en-US" w:eastAsia="zh-CN" w:bidi="ar-SA"/>
              </w:rPr>
              <w:t>3</w:t>
            </w:r>
            <w:r>
              <w:rPr>
                <w:rFonts w:hint="eastAsia" w:ascii="宋体" w:hAnsi="宋体" w:eastAsia="宋体" w:cs="Times New Roman"/>
                <w:kern w:val="2"/>
                <w:sz w:val="24"/>
                <w:szCs w:val="24"/>
                <w:lang w:val="en-US" w:eastAsia="zh-CN" w:bidi="ar-SA"/>
              </w:rPr>
              <w:t>分。（提供注册证书，以本单位注册证书为准；职称以职称证书为准，要求必须是建设工程类专业技术职称；专业以注册监理工程师证书注明的所学专业为准，新版国家注册监理工程师无所学专业一栏的，所学专业以毕业证书上为准。）</w:t>
            </w:r>
          </w:p>
          <w:p w14:paraId="4C8981F1">
            <w:pPr>
              <w:pStyle w:val="9"/>
              <w:spacing w:line="320" w:lineRule="exact"/>
              <w:rPr>
                <w:rFonts w:hint="eastAsia" w:ascii="宋体" w:hAnsi="宋体" w:eastAsia="宋体" w:cs="Times New Roman"/>
                <w:kern w:val="2"/>
                <w:sz w:val="24"/>
                <w:szCs w:val="24"/>
                <w:lang w:val="en-US" w:eastAsia="zh-CN" w:bidi="ar-SA"/>
              </w:rPr>
            </w:pPr>
            <w:r>
              <w:rPr>
                <w:rFonts w:hint="eastAsia" w:hAnsi="宋体" w:cs="Times New Roman"/>
                <w:b/>
                <w:bCs/>
                <w:kern w:val="2"/>
                <w:sz w:val="24"/>
                <w:szCs w:val="24"/>
                <w:lang w:val="en-US" w:eastAsia="zh-CN" w:bidi="ar-SA"/>
              </w:rPr>
              <w:t>（6）园林或园艺或绿化</w:t>
            </w:r>
            <w:r>
              <w:rPr>
                <w:rFonts w:hint="eastAsia" w:ascii="宋体" w:hAnsi="宋体" w:eastAsia="宋体" w:cs="Times New Roman"/>
                <w:b/>
                <w:bCs/>
                <w:kern w:val="2"/>
                <w:sz w:val="24"/>
                <w:szCs w:val="24"/>
                <w:lang w:val="en-US" w:eastAsia="zh-CN" w:bidi="ar-SA"/>
              </w:rPr>
              <w:t>专业人员2名：</w:t>
            </w:r>
            <w:r>
              <w:rPr>
                <w:rFonts w:hint="eastAsia" w:ascii="宋体" w:hAnsi="宋体" w:eastAsia="宋体" w:cs="Times New Roman"/>
                <w:kern w:val="2"/>
                <w:sz w:val="24"/>
                <w:szCs w:val="24"/>
                <w:lang w:val="en-US" w:eastAsia="zh-CN" w:bidi="ar-SA"/>
              </w:rPr>
              <w:t>具有国家注册监理工程师的得</w:t>
            </w:r>
            <w:r>
              <w:rPr>
                <w:rFonts w:hint="eastAsia"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分/人；同时具有一级注册造价工程师的加</w:t>
            </w:r>
            <w:r>
              <w:rPr>
                <w:rFonts w:hint="eastAsia"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分/人；同时具有建设工程类高级及以上职称的加</w:t>
            </w:r>
            <w:r>
              <w:rPr>
                <w:rFonts w:hint="eastAsia"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分/人，同时具有建设工程类中级职称的加</w:t>
            </w:r>
            <w:r>
              <w:rPr>
                <w:rFonts w:hint="eastAsia" w:hAnsi="宋体" w:eastAsia="宋体" w:cs="Times New Roman"/>
                <w:kern w:val="2"/>
                <w:sz w:val="24"/>
                <w:szCs w:val="24"/>
                <w:lang w:val="en-US" w:eastAsia="zh-CN" w:bidi="ar-SA"/>
              </w:rPr>
              <w:t>0.5</w:t>
            </w:r>
            <w:r>
              <w:rPr>
                <w:rFonts w:hint="eastAsia" w:ascii="宋体" w:hAnsi="宋体" w:eastAsia="宋体" w:cs="Times New Roman"/>
                <w:kern w:val="2"/>
                <w:sz w:val="24"/>
                <w:szCs w:val="24"/>
                <w:lang w:val="en-US" w:eastAsia="zh-CN" w:bidi="ar-SA"/>
              </w:rPr>
              <w:t>分/人；本项满分</w:t>
            </w:r>
            <w:r>
              <w:rPr>
                <w:rFonts w:hint="eastAsia" w:hAnsi="宋体" w:cs="Times New Roman"/>
                <w:kern w:val="2"/>
                <w:sz w:val="24"/>
                <w:szCs w:val="24"/>
                <w:lang w:val="en-US" w:eastAsia="zh-CN" w:bidi="ar-SA"/>
              </w:rPr>
              <w:t>6</w:t>
            </w:r>
            <w:r>
              <w:rPr>
                <w:rFonts w:hint="eastAsia" w:ascii="宋体" w:hAnsi="宋体" w:eastAsia="宋体" w:cs="Times New Roman"/>
                <w:kern w:val="2"/>
                <w:sz w:val="24"/>
                <w:szCs w:val="24"/>
                <w:lang w:val="en-US" w:eastAsia="zh-CN" w:bidi="ar-SA"/>
              </w:rPr>
              <w:t>分。（提供注册证书，以本单位注册证书为准；职称以职称证书为准，要求必须是建设工程类专业技术职称；专业以注册监理工程师证书注明的所学专业为准，新版国家注册监理工程师无所学专业一栏的，所学专业以毕业证书上为准。）</w:t>
            </w:r>
          </w:p>
          <w:p w14:paraId="65A21E37">
            <w:pPr>
              <w:pStyle w:val="9"/>
              <w:spacing w:line="320" w:lineRule="exact"/>
              <w:rPr>
                <w:rFonts w:hint="default" w:ascii="宋体" w:hAnsi="宋体" w:eastAsia="宋体" w:cs="Times New Roman"/>
                <w:kern w:val="2"/>
                <w:sz w:val="24"/>
                <w:szCs w:val="24"/>
                <w:lang w:val="en-US" w:eastAsia="zh-CN" w:bidi="ar-SA"/>
              </w:rPr>
            </w:pPr>
            <w:r>
              <w:rPr>
                <w:rFonts w:hint="eastAsia" w:ascii="宋体" w:hAnsi="宋体" w:eastAsia="宋体" w:cs="Times New Roman"/>
                <w:b/>
                <w:bCs/>
                <w:kern w:val="2"/>
                <w:sz w:val="24"/>
                <w:szCs w:val="24"/>
                <w:lang w:val="en-US" w:eastAsia="zh-CN" w:bidi="ar-SA"/>
              </w:rPr>
              <w:t>（</w:t>
            </w:r>
            <w:r>
              <w:rPr>
                <w:rFonts w:hint="eastAsia" w:hAnsi="宋体" w:cs="Times New Roman"/>
                <w:b/>
                <w:bCs/>
                <w:kern w:val="2"/>
                <w:sz w:val="24"/>
                <w:szCs w:val="24"/>
                <w:lang w:val="en-US" w:eastAsia="zh-CN" w:bidi="ar-SA"/>
              </w:rPr>
              <w:t>7</w:t>
            </w:r>
            <w:r>
              <w:rPr>
                <w:rFonts w:hint="eastAsia" w:ascii="宋体" w:hAnsi="宋体" w:eastAsia="宋体" w:cs="Times New Roman"/>
                <w:b/>
                <w:bCs/>
                <w:kern w:val="2"/>
                <w:sz w:val="24"/>
                <w:szCs w:val="24"/>
                <w:lang w:val="en-US" w:eastAsia="zh-CN" w:bidi="ar-SA"/>
              </w:rPr>
              <w:t>）资料员1名：</w:t>
            </w:r>
            <w:r>
              <w:rPr>
                <w:rFonts w:hint="eastAsia" w:ascii="宋体" w:hAnsi="宋体" w:eastAsia="宋体" w:cs="Times New Roman"/>
                <w:kern w:val="2"/>
                <w:sz w:val="24"/>
                <w:szCs w:val="24"/>
                <w:lang w:val="en-US" w:eastAsia="zh-CN" w:bidi="ar-SA"/>
              </w:rPr>
              <w:t>取得建设主管部门颁发的资料员证书的得</w:t>
            </w:r>
            <w:r>
              <w:rPr>
                <w:rFonts w:hint="eastAsia" w:hAnsi="宋体" w:eastAsia="宋体" w:cs="Times New Roman"/>
                <w:kern w:val="2"/>
                <w:sz w:val="24"/>
                <w:szCs w:val="24"/>
                <w:lang w:val="en-US" w:eastAsia="zh-CN" w:bidi="ar-SA"/>
              </w:rPr>
              <w:t>1</w:t>
            </w:r>
            <w:r>
              <w:rPr>
                <w:rFonts w:hint="eastAsia" w:ascii="宋体" w:hAnsi="宋体" w:eastAsia="宋体" w:cs="Times New Roman"/>
                <w:kern w:val="2"/>
                <w:sz w:val="24"/>
                <w:szCs w:val="24"/>
                <w:lang w:val="en-US" w:eastAsia="zh-CN" w:bidi="ar-SA"/>
              </w:rPr>
              <w:t>分。</w:t>
            </w:r>
          </w:p>
          <w:p w14:paraId="4BBE76FD">
            <w:pPr>
              <w:pStyle w:val="9"/>
              <w:spacing w:line="320" w:lineRule="exact"/>
              <w:rPr>
                <w:rFonts w:hint="eastAsia" w:ascii="宋体" w:hAnsi="Courier New" w:cs="Courier New" w:eastAsiaTheme="minorEastAsia"/>
                <w:kern w:val="2"/>
                <w:sz w:val="21"/>
                <w:szCs w:val="21"/>
                <w:lang w:val="en-US" w:eastAsia="zh-CN" w:bidi="ar-SA"/>
              </w:rPr>
            </w:pPr>
            <w:r>
              <w:rPr>
                <w:rFonts w:hint="eastAsia" w:ascii="宋体" w:hAnsi="宋体" w:eastAsia="宋体" w:cs="Times New Roman"/>
                <w:b/>
                <w:bCs/>
                <w:kern w:val="2"/>
                <w:sz w:val="24"/>
                <w:szCs w:val="24"/>
                <w:lang w:val="en-US" w:eastAsia="zh-CN" w:bidi="ar-SA"/>
              </w:rPr>
              <w:t>说明：以上人员不重复计分，须提供项目上述人员近半年（202</w:t>
            </w:r>
            <w:r>
              <w:rPr>
                <w:rFonts w:hint="eastAsia" w:hAnsi="宋体" w:cs="Times New Roman"/>
                <w:b/>
                <w:bCs/>
                <w:kern w:val="2"/>
                <w:sz w:val="24"/>
                <w:szCs w:val="24"/>
                <w:lang w:val="en-US" w:eastAsia="zh-CN" w:bidi="ar-SA"/>
              </w:rPr>
              <w:t>5</w:t>
            </w:r>
            <w:r>
              <w:rPr>
                <w:rFonts w:hint="eastAsia" w:ascii="宋体" w:hAnsi="宋体" w:eastAsia="宋体" w:cs="Times New Roman"/>
                <w:b/>
                <w:bCs/>
                <w:kern w:val="2"/>
                <w:sz w:val="24"/>
                <w:szCs w:val="24"/>
                <w:lang w:val="en-US" w:eastAsia="zh-CN" w:bidi="ar-SA"/>
              </w:rPr>
              <w:t>年1</w:t>
            </w:r>
            <w:r>
              <w:rPr>
                <w:rFonts w:hint="eastAsia" w:hAnsi="宋体" w:eastAsia="宋体" w:cs="Times New Roman"/>
                <w:b/>
                <w:bCs/>
                <w:kern w:val="2"/>
                <w:sz w:val="24"/>
                <w:szCs w:val="24"/>
                <w:lang w:val="en-US" w:eastAsia="zh-CN" w:bidi="ar-SA"/>
              </w:rPr>
              <w:t>1</w:t>
            </w:r>
            <w:r>
              <w:rPr>
                <w:rFonts w:hint="eastAsia" w:ascii="宋体" w:hAnsi="宋体" w:eastAsia="宋体" w:cs="Times New Roman"/>
                <w:b/>
                <w:bCs/>
                <w:kern w:val="2"/>
                <w:sz w:val="24"/>
                <w:szCs w:val="24"/>
                <w:lang w:val="en-US" w:eastAsia="zh-CN" w:bidi="ar-SA"/>
              </w:rPr>
              <w:t>月至202</w:t>
            </w:r>
            <w:r>
              <w:rPr>
                <w:rFonts w:hint="eastAsia" w:hAnsi="宋体" w:cs="Times New Roman"/>
                <w:b/>
                <w:bCs/>
                <w:kern w:val="2"/>
                <w:sz w:val="24"/>
                <w:szCs w:val="24"/>
                <w:lang w:val="en-US" w:eastAsia="zh-CN" w:bidi="ar-SA"/>
              </w:rPr>
              <w:t>6</w:t>
            </w:r>
            <w:r>
              <w:rPr>
                <w:rFonts w:hint="eastAsia" w:ascii="宋体" w:hAnsi="宋体" w:eastAsia="宋体" w:cs="Times New Roman"/>
                <w:b/>
                <w:bCs/>
                <w:kern w:val="2"/>
                <w:sz w:val="24"/>
                <w:szCs w:val="24"/>
                <w:lang w:val="en-US" w:eastAsia="zh-CN" w:bidi="ar-SA"/>
              </w:rPr>
              <w:t>年</w:t>
            </w:r>
            <w:r>
              <w:rPr>
                <w:rFonts w:hint="eastAsia" w:hAnsi="宋体" w:eastAsia="宋体" w:cs="Times New Roman"/>
                <w:b/>
                <w:bCs/>
                <w:kern w:val="2"/>
                <w:sz w:val="24"/>
                <w:szCs w:val="24"/>
                <w:lang w:val="en-US" w:eastAsia="zh-CN" w:bidi="ar-SA"/>
              </w:rPr>
              <w:t>4</w:t>
            </w:r>
            <w:r>
              <w:rPr>
                <w:rFonts w:hint="eastAsia" w:ascii="宋体" w:hAnsi="宋体" w:eastAsia="宋体" w:cs="Times New Roman"/>
                <w:b/>
                <w:bCs/>
                <w:kern w:val="2"/>
                <w:sz w:val="24"/>
                <w:szCs w:val="24"/>
                <w:lang w:val="en-US" w:eastAsia="zh-CN" w:bidi="ar-SA"/>
              </w:rPr>
              <w:t>月）任意一个月的养老保险缴费记录，退休人员提供退休证明。需提供相关证书复印件，否则不得分。</w:t>
            </w:r>
          </w:p>
        </w:tc>
        <w:tc>
          <w:tcPr>
            <w:tcW w:w="696" w:type="dxa"/>
            <w:shd w:val="clear" w:color="auto" w:fill="auto"/>
            <w:tcMar>
              <w:top w:w="100" w:type="dxa"/>
              <w:bottom w:w="100" w:type="dxa"/>
            </w:tcMar>
            <w:vAlign w:val="center"/>
          </w:tcPr>
          <w:p w14:paraId="2450AEA6">
            <w:pPr>
              <w:jc w:val="center"/>
              <w:rPr>
                <w:rFonts w:hint="eastAsia" w:eastAsia="宋体" w:asciiTheme="minorHAnsi" w:hAnsiTheme="minorHAnsi" w:cstheme="minorBidi"/>
                <w:kern w:val="2"/>
                <w:sz w:val="24"/>
                <w:szCs w:val="24"/>
                <w:lang w:val="en-US" w:eastAsia="zh-CN" w:bidi="ar-SA"/>
              </w:rPr>
            </w:pPr>
            <w:r>
              <w:rPr>
                <w:rFonts w:hint="eastAsia"/>
                <w:sz w:val="24"/>
                <w:szCs w:val="24"/>
                <w:lang w:val="en-US" w:eastAsia="zh-CN"/>
              </w:rPr>
              <w:t>31</w:t>
            </w:r>
          </w:p>
        </w:tc>
      </w:tr>
      <w:tr w14:paraId="26962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84" w:type="dxa"/>
            <w:gridSpan w:val="2"/>
            <w:tcMar>
              <w:top w:w="100" w:type="dxa"/>
              <w:bottom w:w="100" w:type="dxa"/>
            </w:tcMar>
            <w:vAlign w:val="center"/>
          </w:tcPr>
          <w:p w14:paraId="0B4CD598">
            <w:pPr>
              <w:widowControl/>
              <w:jc w:val="center"/>
              <w:rPr>
                <w:rFonts w:hint="default" w:ascii="宋体" w:hAnsi="宋体" w:eastAsia="宋体" w:cs="宋体"/>
                <w:kern w:val="0"/>
                <w:sz w:val="24"/>
                <w:lang w:val="en-US" w:eastAsia="zh-CN"/>
              </w:rPr>
            </w:pPr>
            <w:r>
              <w:rPr>
                <w:rFonts w:hint="eastAsia" w:ascii="宋体" w:hAnsi="宋体" w:eastAsia="宋体" w:cs="宋体"/>
                <w:kern w:val="0"/>
                <w:sz w:val="24"/>
                <w:lang w:val="en-US" w:eastAsia="zh-CN"/>
              </w:rPr>
              <w:t>2.3</w:t>
            </w:r>
          </w:p>
        </w:tc>
        <w:tc>
          <w:tcPr>
            <w:tcW w:w="1134" w:type="dxa"/>
            <w:shd w:val="clear" w:color="auto" w:fill="auto"/>
            <w:tcMar>
              <w:top w:w="100" w:type="dxa"/>
              <w:bottom w:w="100" w:type="dxa"/>
            </w:tcMar>
            <w:vAlign w:val="center"/>
          </w:tcPr>
          <w:p w14:paraId="1DAAD78A">
            <w:pPr>
              <w:rPr>
                <w:rFonts w:hint="eastAsia" w:eastAsia="宋体" w:asciiTheme="minorHAnsi" w:hAnsiTheme="minorHAnsi" w:cstheme="minorBidi"/>
                <w:b/>
                <w:bCs/>
                <w:kern w:val="2"/>
                <w:sz w:val="24"/>
                <w:szCs w:val="24"/>
                <w:lang w:val="en-US" w:eastAsia="zh-CN" w:bidi="ar-SA"/>
              </w:rPr>
            </w:pPr>
            <w:r>
              <w:rPr>
                <w:rFonts w:hint="eastAsia"/>
                <w:b/>
                <w:bCs/>
                <w:sz w:val="24"/>
                <w:szCs w:val="24"/>
                <w:lang w:val="en-US" w:eastAsia="zh-CN"/>
              </w:rPr>
              <w:t>投标人</w:t>
            </w:r>
            <w:r>
              <w:rPr>
                <w:b/>
                <w:bCs/>
                <w:sz w:val="24"/>
                <w:szCs w:val="24"/>
              </w:rPr>
              <w:t>业绩</w:t>
            </w:r>
            <w:r>
              <w:rPr>
                <w:rFonts w:hint="eastAsia"/>
                <w:b/>
                <w:bCs/>
                <w:sz w:val="24"/>
                <w:szCs w:val="24"/>
                <w:lang w:eastAsia="zh-CN"/>
              </w:rPr>
              <w:t>（</w:t>
            </w:r>
            <w:r>
              <w:rPr>
                <w:rFonts w:hint="eastAsia"/>
                <w:b/>
                <w:bCs/>
                <w:sz w:val="24"/>
                <w:szCs w:val="24"/>
                <w:lang w:val="en-US" w:eastAsia="zh-CN"/>
              </w:rPr>
              <w:t>4分</w:t>
            </w:r>
            <w:r>
              <w:rPr>
                <w:rFonts w:hint="eastAsia"/>
                <w:b/>
                <w:bCs/>
                <w:sz w:val="24"/>
                <w:szCs w:val="24"/>
                <w:lang w:eastAsia="zh-CN"/>
              </w:rPr>
              <w:t>）</w:t>
            </w:r>
          </w:p>
        </w:tc>
        <w:tc>
          <w:tcPr>
            <w:tcW w:w="6784" w:type="dxa"/>
            <w:shd w:val="clear" w:color="auto" w:fill="auto"/>
            <w:tcMar>
              <w:top w:w="100" w:type="dxa"/>
              <w:bottom w:w="100" w:type="dxa"/>
            </w:tcMar>
            <w:vAlign w:val="center"/>
          </w:tcPr>
          <w:p w14:paraId="179E271A">
            <w:pPr>
              <w:rPr>
                <w:rFonts w:hint="eastAsia"/>
                <w:sz w:val="24"/>
                <w:szCs w:val="24"/>
              </w:rPr>
            </w:pPr>
            <w:r>
              <w:rPr>
                <w:rFonts w:hint="eastAsia"/>
                <w:sz w:val="24"/>
                <w:szCs w:val="24"/>
              </w:rPr>
              <w:t>投标人自2021年4月1日以来（含）承担过</w:t>
            </w:r>
            <w:r>
              <w:rPr>
                <w:rFonts w:hint="eastAsia"/>
                <w:sz w:val="24"/>
                <w:szCs w:val="24"/>
                <w:lang w:val="en-US" w:eastAsia="zh-CN"/>
              </w:rPr>
              <w:t>类似</w:t>
            </w:r>
            <w:r>
              <w:rPr>
                <w:rFonts w:hint="eastAsia"/>
                <w:sz w:val="24"/>
                <w:szCs w:val="24"/>
              </w:rPr>
              <w:t>项目管理服务或代建服务的得4分。</w:t>
            </w:r>
          </w:p>
          <w:p w14:paraId="5C423C1C">
            <w:pPr>
              <w:rPr>
                <w:rFonts w:hint="eastAsia" w:asciiTheme="minorHAnsi" w:hAnsiTheme="minorHAnsi" w:eastAsiaTheme="minorEastAsia" w:cstheme="minorBidi"/>
                <w:kern w:val="2"/>
                <w:sz w:val="24"/>
                <w:szCs w:val="24"/>
                <w:lang w:val="en-US" w:eastAsia="zh-CN" w:bidi="ar-SA"/>
              </w:rPr>
            </w:pPr>
            <w:r>
              <w:rPr>
                <w:rFonts w:hint="eastAsia"/>
                <w:sz w:val="24"/>
                <w:szCs w:val="24"/>
              </w:rPr>
              <w:t>注：业绩须提供合同、中标通知书及竣工验收证明复印件加盖公章，时间以竣工验收证明时间为准，所提供的材料须能反应相关的数据和内容，否则不得分。</w:t>
            </w:r>
          </w:p>
        </w:tc>
        <w:tc>
          <w:tcPr>
            <w:tcW w:w="696" w:type="dxa"/>
            <w:shd w:val="clear" w:color="auto" w:fill="auto"/>
            <w:tcMar>
              <w:top w:w="100" w:type="dxa"/>
              <w:bottom w:w="100" w:type="dxa"/>
            </w:tcMar>
            <w:vAlign w:val="center"/>
          </w:tcPr>
          <w:p w14:paraId="5AD132C9">
            <w:pPr>
              <w:jc w:val="center"/>
              <w:rPr>
                <w:rFonts w:hint="eastAsia" w:eastAsia="宋体" w:asciiTheme="minorHAnsi" w:hAnsiTheme="minorHAnsi" w:cstheme="minorBidi"/>
                <w:kern w:val="2"/>
                <w:sz w:val="24"/>
                <w:szCs w:val="24"/>
                <w:lang w:val="en-US" w:eastAsia="en-US" w:bidi="ar-SA"/>
              </w:rPr>
            </w:pPr>
            <w:r>
              <w:rPr>
                <w:rFonts w:hint="eastAsia"/>
                <w:sz w:val="24"/>
                <w:szCs w:val="24"/>
                <w:lang w:val="en-US" w:eastAsia="zh-CN"/>
              </w:rPr>
              <w:t>4</w:t>
            </w:r>
          </w:p>
        </w:tc>
      </w:tr>
    </w:tbl>
    <w:p w14:paraId="271A1E13">
      <w:pPr>
        <w:spacing w:before="78" w:line="218" w:lineRule="auto"/>
        <w:rPr>
          <w:rFonts w:ascii="宋体" w:hAnsi="宋体" w:eastAsia="宋体" w:cs="宋体"/>
          <w:b/>
          <w:bCs/>
          <w:kern w:val="0"/>
          <w:sz w:val="24"/>
        </w:rPr>
      </w:pPr>
      <w:r>
        <w:rPr>
          <w:rFonts w:hint="eastAsia" w:ascii="宋体" w:hAnsi="宋体" w:eastAsia="宋体" w:cs="宋体"/>
          <w:b/>
          <w:bCs/>
          <w:spacing w:val="-16"/>
          <w:kern w:val="0"/>
          <w:sz w:val="24"/>
        </w:rPr>
        <w:t>（三）价格评估</w:t>
      </w:r>
    </w:p>
    <w:p w14:paraId="30008AB2">
      <w:pPr>
        <w:spacing w:before="28"/>
        <w:rPr>
          <w:rFonts w:ascii="宋体" w:hAnsi="宋体" w:eastAsia="宋体" w:cs="宋体"/>
          <w:kern w:val="0"/>
        </w:rPr>
      </w:pPr>
    </w:p>
    <w:tbl>
      <w:tblPr>
        <w:tblStyle w:val="1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825"/>
        <w:gridCol w:w="1346"/>
        <w:gridCol w:w="6891"/>
        <w:gridCol w:w="734"/>
      </w:tblGrid>
      <w:tr w14:paraId="4654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25" w:type="dxa"/>
            <w:tcMar>
              <w:top w:w="100" w:type="dxa"/>
              <w:bottom w:w="100" w:type="dxa"/>
            </w:tcMar>
            <w:vAlign w:val="center"/>
          </w:tcPr>
          <w:p w14:paraId="1FD58AF2">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序号</w:t>
            </w:r>
          </w:p>
        </w:tc>
        <w:tc>
          <w:tcPr>
            <w:tcW w:w="1346" w:type="dxa"/>
            <w:tcMar>
              <w:top w:w="100" w:type="dxa"/>
              <w:bottom w:w="100" w:type="dxa"/>
            </w:tcMar>
            <w:vAlign w:val="center"/>
          </w:tcPr>
          <w:p w14:paraId="5E40318D">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评审因素</w:t>
            </w:r>
          </w:p>
        </w:tc>
        <w:tc>
          <w:tcPr>
            <w:tcW w:w="6891" w:type="dxa"/>
            <w:tcMar>
              <w:top w:w="100" w:type="dxa"/>
              <w:bottom w:w="100" w:type="dxa"/>
            </w:tcMar>
            <w:vAlign w:val="center"/>
          </w:tcPr>
          <w:p w14:paraId="5FB9E94A">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评审细则</w:t>
            </w:r>
          </w:p>
        </w:tc>
        <w:tc>
          <w:tcPr>
            <w:tcW w:w="734" w:type="dxa"/>
            <w:tcMar>
              <w:top w:w="100" w:type="dxa"/>
              <w:bottom w:w="100" w:type="dxa"/>
            </w:tcMar>
            <w:vAlign w:val="center"/>
          </w:tcPr>
          <w:p w14:paraId="7A37B62A">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分值</w:t>
            </w:r>
          </w:p>
        </w:tc>
      </w:tr>
      <w:tr w14:paraId="54E5A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062" w:type="dxa"/>
            <w:gridSpan w:val="3"/>
            <w:tcMar>
              <w:top w:w="100" w:type="dxa"/>
              <w:bottom w:w="100" w:type="dxa"/>
            </w:tcMar>
            <w:vAlign w:val="center"/>
          </w:tcPr>
          <w:p w14:paraId="2C22CADD">
            <w:pPr>
              <w:widowControl/>
              <w:jc w:val="center"/>
              <w:rPr>
                <w:rFonts w:ascii="宋体" w:hAnsi="宋体" w:eastAsia="宋体" w:cs="宋体"/>
                <w:kern w:val="0"/>
                <w:sz w:val="24"/>
                <w:lang w:eastAsia="en-US"/>
              </w:rPr>
            </w:pPr>
            <w:r>
              <w:rPr>
                <w:rFonts w:hint="eastAsia" w:ascii="宋体" w:hAnsi="宋体" w:eastAsia="宋体" w:cs="宋体"/>
                <w:kern w:val="0"/>
                <w:sz w:val="24"/>
                <w:lang w:eastAsia="en-US"/>
              </w:rPr>
              <w:t>投标报价得分</w:t>
            </w:r>
          </w:p>
        </w:tc>
        <w:tc>
          <w:tcPr>
            <w:tcW w:w="734" w:type="dxa"/>
            <w:tcMar>
              <w:top w:w="100" w:type="dxa"/>
              <w:bottom w:w="100" w:type="dxa"/>
            </w:tcMar>
            <w:vAlign w:val="center"/>
          </w:tcPr>
          <w:p w14:paraId="4DCD37E2">
            <w:pPr>
              <w:widowControl/>
              <w:jc w:val="center"/>
              <w:rPr>
                <w:rFonts w:ascii="宋体" w:hAnsi="宋体" w:eastAsia="宋体" w:cs="宋体"/>
                <w:kern w:val="0"/>
                <w:sz w:val="24"/>
                <w:lang w:eastAsia="en-US"/>
              </w:rPr>
            </w:pPr>
            <w:r>
              <w:rPr>
                <w:rFonts w:hint="eastAsia" w:ascii="宋体" w:hAnsi="宋体" w:eastAsia="宋体" w:cs="宋体"/>
                <w:kern w:val="0"/>
                <w:sz w:val="24"/>
                <w:lang w:val="en-US" w:eastAsia="zh-CN"/>
              </w:rPr>
              <w:t>1</w:t>
            </w:r>
            <w:r>
              <w:rPr>
                <w:rFonts w:hint="eastAsia" w:ascii="宋体" w:hAnsi="宋体" w:eastAsia="宋体" w:cs="宋体"/>
                <w:kern w:val="0"/>
                <w:sz w:val="24"/>
              </w:rPr>
              <w:t>0</w:t>
            </w:r>
            <w:r>
              <w:rPr>
                <w:rFonts w:hint="eastAsia" w:ascii="宋体" w:hAnsi="宋体" w:eastAsia="宋体" w:cs="宋体"/>
                <w:kern w:val="0"/>
                <w:sz w:val="24"/>
                <w:lang w:eastAsia="en-US"/>
              </w:rPr>
              <w:t>.0</w:t>
            </w:r>
          </w:p>
        </w:tc>
      </w:tr>
      <w:tr w14:paraId="4B9CC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25" w:type="dxa"/>
            <w:shd w:val="clear" w:color="auto" w:fill="auto"/>
            <w:tcMar>
              <w:top w:w="100" w:type="dxa"/>
              <w:bottom w:w="100" w:type="dxa"/>
            </w:tcMar>
            <w:vAlign w:val="center"/>
          </w:tcPr>
          <w:p w14:paraId="09C6E7F8">
            <w:pPr>
              <w:jc w:val="center"/>
              <w:rPr>
                <w:rFonts w:hint="default" w:asciiTheme="minorHAnsi" w:hAnsiTheme="minorHAnsi" w:eastAsiaTheme="minorEastAsia" w:cstheme="minorBidi"/>
                <w:kern w:val="2"/>
                <w:sz w:val="24"/>
                <w:szCs w:val="24"/>
                <w:lang w:val="en-US" w:eastAsia="zh-CN" w:bidi="ar-SA"/>
              </w:rPr>
            </w:pPr>
            <w:r>
              <w:rPr>
                <w:rFonts w:hint="eastAsia"/>
                <w:sz w:val="24"/>
                <w:szCs w:val="24"/>
                <w:lang w:val="en-US" w:eastAsia="zh-CN"/>
              </w:rPr>
              <w:t>3.1</w:t>
            </w:r>
          </w:p>
        </w:tc>
        <w:tc>
          <w:tcPr>
            <w:tcW w:w="1346" w:type="dxa"/>
            <w:shd w:val="clear" w:color="auto" w:fill="auto"/>
            <w:tcMar>
              <w:top w:w="100" w:type="dxa"/>
              <w:bottom w:w="100" w:type="dxa"/>
            </w:tcMar>
            <w:vAlign w:val="center"/>
          </w:tcPr>
          <w:p w14:paraId="2EBDD190">
            <w:pPr>
              <w:jc w:val="center"/>
              <w:rPr>
                <w:rFonts w:hint="eastAsia" w:eastAsia="宋体" w:asciiTheme="minorHAnsi" w:hAnsiTheme="minorHAnsi" w:cstheme="minorBidi"/>
                <w:kern w:val="2"/>
                <w:sz w:val="24"/>
                <w:szCs w:val="24"/>
                <w:lang w:val="en-US" w:eastAsia="en-US" w:bidi="ar-SA"/>
              </w:rPr>
            </w:pPr>
            <w:r>
              <w:rPr>
                <w:b/>
                <w:bCs/>
                <w:kern w:val="0"/>
                <w:sz w:val="24"/>
                <w:szCs w:val="24"/>
              </w:rPr>
              <w:t>投标报价</w:t>
            </w:r>
            <w:r>
              <w:rPr>
                <w:rFonts w:hint="eastAsia"/>
                <w:b/>
                <w:bCs/>
                <w:kern w:val="0"/>
                <w:sz w:val="24"/>
                <w:szCs w:val="24"/>
                <w:lang w:eastAsia="zh-CN"/>
              </w:rPr>
              <w:t>（</w:t>
            </w:r>
            <w:r>
              <w:rPr>
                <w:rFonts w:hint="eastAsia"/>
                <w:b/>
                <w:bCs/>
                <w:kern w:val="0"/>
                <w:sz w:val="24"/>
                <w:szCs w:val="24"/>
                <w:lang w:val="en-US" w:eastAsia="zh-CN"/>
              </w:rPr>
              <w:t>10分</w:t>
            </w:r>
            <w:r>
              <w:rPr>
                <w:rFonts w:hint="eastAsia"/>
                <w:b/>
                <w:bCs/>
                <w:kern w:val="0"/>
                <w:sz w:val="24"/>
                <w:szCs w:val="24"/>
                <w:lang w:eastAsia="zh-CN"/>
              </w:rPr>
              <w:t>）</w:t>
            </w:r>
          </w:p>
        </w:tc>
        <w:tc>
          <w:tcPr>
            <w:tcW w:w="6891" w:type="dxa"/>
            <w:shd w:val="clear" w:color="auto" w:fill="auto"/>
            <w:tcMar>
              <w:top w:w="100" w:type="dxa"/>
              <w:bottom w:w="100" w:type="dxa"/>
            </w:tcMar>
            <w:vAlign w:val="center"/>
          </w:tcPr>
          <w:p w14:paraId="55DA7463">
            <w:pPr>
              <w:rPr>
                <w:rFonts w:asciiTheme="minorHAnsi" w:hAnsiTheme="minorHAnsi" w:eastAsiaTheme="minorEastAsia" w:cstheme="minorBidi"/>
                <w:kern w:val="2"/>
                <w:sz w:val="24"/>
                <w:szCs w:val="24"/>
                <w:lang w:val="en-US" w:eastAsia="zh-CN" w:bidi="ar-SA"/>
              </w:rPr>
            </w:pPr>
            <w:r>
              <w:rPr>
                <w:sz w:val="24"/>
                <w:szCs w:val="24"/>
              </w:rPr>
              <w:t>采用低价优先法计算，即满足磋商文件要求且最后报价最低的供应商的价格为磋商基准价，其价格分为满分。其他供应商的价格分统一按照下列公式计算：磋商报价得分=（磋商基准价/最后磋商报价）×10（小数点保留两位）。（评标委员会在评审时发现供应商的报价明显低于成本价的，应当要求供应商书面说明并提供相关证明材料。供应商不能当场合理说明原因并提供证明材料的，评标委员会应将该供应商的投标文件作无效处理，并在评审报告中说明）</w:t>
            </w:r>
            <w:r>
              <w:rPr>
                <w:kern w:val="0"/>
                <w:sz w:val="24"/>
                <w:szCs w:val="24"/>
              </w:rPr>
              <w:t>。</w:t>
            </w:r>
          </w:p>
        </w:tc>
        <w:tc>
          <w:tcPr>
            <w:tcW w:w="734" w:type="dxa"/>
            <w:shd w:val="clear" w:color="auto" w:fill="auto"/>
            <w:tcMar>
              <w:top w:w="100" w:type="dxa"/>
              <w:bottom w:w="100" w:type="dxa"/>
            </w:tcMar>
            <w:vAlign w:val="center"/>
          </w:tcPr>
          <w:p w14:paraId="38AFCEC9">
            <w:pPr>
              <w:jc w:val="center"/>
              <w:rPr>
                <w:rFonts w:asciiTheme="minorHAnsi" w:hAnsiTheme="minorHAnsi" w:eastAsiaTheme="minorEastAsia" w:cstheme="minorBidi"/>
                <w:kern w:val="2"/>
                <w:sz w:val="24"/>
                <w:szCs w:val="24"/>
                <w:lang w:val="en-US" w:eastAsia="en-US" w:bidi="ar-SA"/>
              </w:rPr>
            </w:pPr>
            <w:r>
              <w:rPr>
                <w:sz w:val="24"/>
                <w:szCs w:val="24"/>
              </w:rPr>
              <w:t>10</w:t>
            </w:r>
          </w:p>
        </w:tc>
      </w:tr>
      <w:bookmarkEnd w:id="109"/>
      <w:bookmarkEnd w:id="110"/>
    </w:tbl>
    <w:p w14:paraId="0AD51218">
      <w:pPr>
        <w:rPr>
          <w:rFonts w:hint="eastAsia"/>
        </w:rPr>
      </w:pPr>
    </w:p>
    <w:p w14:paraId="55C15EAA">
      <w:pPr>
        <w:rPr>
          <w:rFonts w:ascii="Arial"/>
        </w:rPr>
      </w:pPr>
      <w:r>
        <w:rPr>
          <w:rFonts w:hint="eastAsia"/>
        </w:rPr>
        <w:t>七、推荐成交供应商</w:t>
      </w:r>
    </w:p>
    <w:p w14:paraId="765987E8">
      <w:pPr>
        <w:spacing w:before="78" w:line="361" w:lineRule="auto"/>
        <w:ind w:left="124" w:right="34" w:firstLine="480"/>
        <w:rPr>
          <w:rFonts w:ascii="宋体" w:hAnsi="宋体" w:eastAsia="宋体" w:cs="宋体"/>
          <w:sz w:val="24"/>
        </w:rPr>
      </w:pPr>
      <w:r>
        <w:rPr>
          <w:rFonts w:ascii="宋体" w:hAnsi="宋体" w:eastAsia="宋体" w:cs="宋体"/>
          <w:spacing w:val="2"/>
          <w:sz w:val="24"/>
        </w:rPr>
        <w:t>磋商小组应当根据综合评分情况，按照评审得分由高到低顺序推荐3名以上成交候选</w:t>
      </w:r>
      <w:r>
        <w:rPr>
          <w:rFonts w:ascii="宋体" w:hAnsi="宋体" w:eastAsia="宋体" w:cs="宋体"/>
          <w:spacing w:val="-1"/>
          <w:sz w:val="24"/>
        </w:rPr>
        <w:t>供应商，并编写评审报告。符合《政府采购竞争性磋商采购方式管理暂</w:t>
      </w:r>
      <w:r>
        <w:rPr>
          <w:rFonts w:ascii="宋体" w:hAnsi="宋体" w:eastAsia="宋体" w:cs="宋体"/>
          <w:spacing w:val="-2"/>
          <w:sz w:val="24"/>
        </w:rPr>
        <w:t>行办法》第二十一</w:t>
      </w:r>
      <w:r>
        <w:rPr>
          <w:rFonts w:ascii="宋体" w:hAnsi="宋体" w:eastAsia="宋体" w:cs="宋体"/>
          <w:spacing w:val="-4"/>
          <w:sz w:val="24"/>
        </w:rPr>
        <w:t>条第三款、《财政部关于政府采购竞争性磋商</w:t>
      </w:r>
      <w:r>
        <w:rPr>
          <w:rFonts w:ascii="宋体" w:hAnsi="宋体" w:eastAsia="宋体" w:cs="宋体"/>
          <w:spacing w:val="-5"/>
          <w:sz w:val="24"/>
        </w:rPr>
        <w:t>采购方式管理暂行办法有关问题的补充通知》</w:t>
      </w:r>
      <w:r>
        <w:rPr>
          <w:rFonts w:ascii="宋体" w:hAnsi="宋体" w:eastAsia="宋体" w:cs="宋体"/>
          <w:spacing w:val="2"/>
          <w:sz w:val="24"/>
        </w:rPr>
        <w:t>规定情形的，可以推荐2家成交候选供应商。评审得分相同的，按照最后报价由低到高的</w:t>
      </w:r>
    </w:p>
    <w:p w14:paraId="63BFBB8D">
      <w:pPr>
        <w:spacing w:before="1" w:line="217" w:lineRule="auto"/>
        <w:ind w:left="124"/>
        <w:rPr>
          <w:rFonts w:ascii="宋体" w:hAnsi="宋体" w:eastAsia="宋体" w:cs="宋体"/>
          <w:sz w:val="24"/>
        </w:rPr>
      </w:pPr>
      <w:r>
        <w:rPr>
          <w:rFonts w:ascii="宋体" w:hAnsi="宋体" w:eastAsia="宋体" w:cs="宋体"/>
          <w:spacing w:val="-2"/>
          <w:sz w:val="24"/>
        </w:rPr>
        <w:t>顺序推荐。评审得分且最后报价相同的，按照技术指标优劣顺序推荐。</w:t>
      </w:r>
    </w:p>
    <w:p w14:paraId="4D8AFC32">
      <w:pPr>
        <w:sectPr>
          <w:headerReference r:id="rId5" w:type="default"/>
          <w:footerReference r:id="rId6" w:type="default"/>
          <w:pgSz w:w="11900" w:h="16840"/>
          <w:pgMar w:top="400" w:right="1175" w:bottom="1391" w:left="1145" w:header="0" w:footer="1262" w:gutter="0"/>
          <w:cols w:space="720" w:num="1"/>
        </w:sectPr>
      </w:pPr>
    </w:p>
    <w:p w14:paraId="67F9DA2F">
      <w:pPr>
        <w:pStyle w:val="3"/>
        <w:spacing w:line="360" w:lineRule="auto"/>
        <w:jc w:val="center"/>
      </w:pPr>
      <w:bookmarkStart w:id="111" w:name="_Toc13439"/>
      <w:r>
        <w:rPr>
          <w:rFonts w:hint="eastAsia"/>
        </w:rPr>
        <w:t>第六部分磋商响应文件(格式)</w:t>
      </w:r>
      <w:bookmarkEnd w:id="111"/>
    </w:p>
    <w:p w14:paraId="77343CF9">
      <w:pPr>
        <w:spacing w:line="268" w:lineRule="auto"/>
        <w:rPr>
          <w:rFonts w:ascii="Arial"/>
        </w:rPr>
      </w:pPr>
    </w:p>
    <w:p w14:paraId="2A141EFC">
      <w:pPr>
        <w:spacing w:line="268" w:lineRule="auto"/>
        <w:rPr>
          <w:rFonts w:ascii="Arial"/>
        </w:rPr>
      </w:pPr>
    </w:p>
    <w:p w14:paraId="60F56D35">
      <w:pPr>
        <w:spacing w:line="268" w:lineRule="auto"/>
        <w:rPr>
          <w:rFonts w:ascii="Arial"/>
        </w:rPr>
      </w:pPr>
    </w:p>
    <w:p w14:paraId="426B64EB">
      <w:pPr>
        <w:spacing w:line="269" w:lineRule="auto"/>
        <w:rPr>
          <w:rFonts w:ascii="Arial"/>
        </w:rPr>
      </w:pPr>
    </w:p>
    <w:p w14:paraId="2D0B5CF8">
      <w:pPr>
        <w:spacing w:line="269" w:lineRule="auto"/>
        <w:rPr>
          <w:rFonts w:ascii="Arial"/>
        </w:rPr>
      </w:pPr>
    </w:p>
    <w:p w14:paraId="27FA6884">
      <w:pPr>
        <w:spacing w:line="269" w:lineRule="auto"/>
        <w:rPr>
          <w:rFonts w:ascii="Arial"/>
        </w:rPr>
      </w:pPr>
    </w:p>
    <w:p w14:paraId="4C88624D">
      <w:pPr>
        <w:jc w:val="center"/>
        <w:outlineLvl w:val="1"/>
        <w:rPr>
          <w:b/>
          <w:bCs/>
          <w:sz w:val="44"/>
          <w:szCs w:val="44"/>
        </w:rPr>
      </w:pPr>
      <w:bookmarkStart w:id="112" w:name="_Toc22210"/>
      <w:r>
        <w:rPr>
          <w:b/>
          <w:bCs/>
          <w:sz w:val="44"/>
          <w:szCs w:val="44"/>
        </w:rPr>
        <w:t>磋商响应文件</w:t>
      </w:r>
      <w:bookmarkEnd w:id="112"/>
    </w:p>
    <w:p w14:paraId="272FEF5A">
      <w:pPr>
        <w:spacing w:line="260" w:lineRule="auto"/>
        <w:jc w:val="center"/>
        <w:rPr>
          <w:rFonts w:ascii="Arial"/>
        </w:rPr>
      </w:pPr>
    </w:p>
    <w:p w14:paraId="74FE1F31">
      <w:pPr>
        <w:spacing w:line="260" w:lineRule="auto"/>
        <w:jc w:val="center"/>
        <w:rPr>
          <w:rFonts w:ascii="Arial"/>
        </w:rPr>
      </w:pPr>
    </w:p>
    <w:p w14:paraId="53FF904A">
      <w:pPr>
        <w:spacing w:line="260" w:lineRule="auto"/>
        <w:jc w:val="center"/>
        <w:rPr>
          <w:rFonts w:ascii="Arial"/>
        </w:rPr>
      </w:pPr>
    </w:p>
    <w:p w14:paraId="0E4F3988">
      <w:pPr>
        <w:spacing w:line="260" w:lineRule="auto"/>
        <w:jc w:val="center"/>
        <w:rPr>
          <w:rFonts w:ascii="Arial"/>
        </w:rPr>
      </w:pPr>
    </w:p>
    <w:p w14:paraId="105ED74C">
      <w:pPr>
        <w:spacing w:line="260" w:lineRule="auto"/>
        <w:jc w:val="center"/>
        <w:rPr>
          <w:rFonts w:ascii="Arial"/>
        </w:rPr>
      </w:pPr>
    </w:p>
    <w:p w14:paraId="21763DA0">
      <w:pPr>
        <w:spacing w:before="107" w:line="219" w:lineRule="auto"/>
        <w:jc w:val="center"/>
        <w:rPr>
          <w:rFonts w:hint="eastAsia" w:ascii="宋体" w:hAnsi="宋体" w:eastAsia="宋体" w:cs="宋体"/>
          <w:sz w:val="30"/>
          <w:szCs w:val="30"/>
          <w:highlight w:val="none"/>
          <w:lang w:eastAsia="zh-CN"/>
        </w:rPr>
      </w:pPr>
      <w:r>
        <w:rPr>
          <w:rFonts w:ascii="宋体" w:hAnsi="宋体" w:eastAsia="宋体" w:cs="宋体"/>
          <w:b/>
          <w:bCs/>
          <w:spacing w:val="-24"/>
          <w:sz w:val="30"/>
          <w:szCs w:val="30"/>
        </w:rPr>
        <w:t>项目编号：</w:t>
      </w:r>
      <w:r>
        <w:rPr>
          <w:rFonts w:ascii="宋体" w:hAnsi="宋体" w:eastAsia="宋体" w:cs="宋体"/>
          <w:b/>
          <w:bCs/>
          <w:spacing w:val="-24"/>
          <w:sz w:val="30"/>
          <w:szCs w:val="30"/>
        </w:rPr>
        <w:tab/>
      </w:r>
      <w:r>
        <w:rPr>
          <w:rFonts w:hint="eastAsia" w:ascii="宋体" w:hAnsi="宋体" w:eastAsia="宋体" w:cs="宋体"/>
          <w:b/>
          <w:bCs/>
          <w:spacing w:val="-24"/>
          <w:sz w:val="30"/>
          <w:szCs w:val="30"/>
          <w:highlight w:val="none"/>
          <w:lang w:eastAsia="zh-CN"/>
        </w:rPr>
        <w:t>JSZC-320113-STGC-C2026-0006</w:t>
      </w:r>
    </w:p>
    <w:p w14:paraId="5026F3BF">
      <w:pPr>
        <w:spacing w:line="268" w:lineRule="auto"/>
        <w:jc w:val="center"/>
        <w:rPr>
          <w:rFonts w:ascii="Arial"/>
          <w:highlight w:val="yellow"/>
        </w:rPr>
      </w:pPr>
    </w:p>
    <w:p w14:paraId="0161D150">
      <w:pPr>
        <w:spacing w:line="268" w:lineRule="auto"/>
        <w:jc w:val="center"/>
        <w:rPr>
          <w:rFonts w:ascii="Arial"/>
        </w:rPr>
      </w:pPr>
    </w:p>
    <w:p w14:paraId="20A7A542">
      <w:pPr>
        <w:spacing w:line="269" w:lineRule="auto"/>
        <w:jc w:val="center"/>
        <w:rPr>
          <w:rFonts w:ascii="Arial"/>
        </w:rPr>
      </w:pPr>
    </w:p>
    <w:p w14:paraId="5A7B9B7C">
      <w:pPr>
        <w:spacing w:line="269" w:lineRule="auto"/>
        <w:jc w:val="center"/>
        <w:rPr>
          <w:rFonts w:ascii="Arial"/>
        </w:rPr>
      </w:pPr>
    </w:p>
    <w:p w14:paraId="5308C677">
      <w:pPr>
        <w:spacing w:line="269" w:lineRule="auto"/>
        <w:jc w:val="center"/>
        <w:rPr>
          <w:rFonts w:ascii="Arial"/>
        </w:rPr>
      </w:pPr>
    </w:p>
    <w:p w14:paraId="12B2A04B">
      <w:pPr>
        <w:spacing w:line="269" w:lineRule="auto"/>
        <w:jc w:val="center"/>
        <w:rPr>
          <w:rFonts w:ascii="Arial"/>
        </w:rPr>
      </w:pPr>
    </w:p>
    <w:p w14:paraId="69BC27A6">
      <w:pPr>
        <w:spacing w:before="107" w:line="219" w:lineRule="auto"/>
        <w:jc w:val="center"/>
        <w:rPr>
          <w:rFonts w:ascii="宋体" w:hAnsi="宋体" w:eastAsia="宋体" w:cs="宋体"/>
          <w:b/>
          <w:bCs/>
          <w:spacing w:val="-24"/>
          <w:sz w:val="30"/>
          <w:szCs w:val="30"/>
        </w:rPr>
      </w:pPr>
      <w:r>
        <w:rPr>
          <w:rFonts w:ascii="宋体" w:hAnsi="宋体" w:eastAsia="宋体" w:cs="宋体"/>
          <w:b/>
          <w:bCs/>
          <w:spacing w:val="-24"/>
          <w:sz w:val="30"/>
          <w:szCs w:val="30"/>
        </w:rPr>
        <w:t>项目名称：</w:t>
      </w:r>
    </w:p>
    <w:p w14:paraId="7249F34D">
      <w:pPr>
        <w:spacing w:before="107" w:line="219" w:lineRule="auto"/>
        <w:jc w:val="center"/>
        <w:rPr>
          <w:rFonts w:ascii="宋体" w:hAnsi="宋体" w:eastAsia="宋体" w:cs="宋体"/>
          <w:b/>
          <w:bCs/>
          <w:spacing w:val="-24"/>
          <w:sz w:val="30"/>
          <w:szCs w:val="30"/>
        </w:rPr>
      </w:pPr>
    </w:p>
    <w:p w14:paraId="1A07D5AC">
      <w:pPr>
        <w:spacing w:before="107" w:line="219" w:lineRule="auto"/>
        <w:jc w:val="center"/>
        <w:rPr>
          <w:rFonts w:ascii="宋体" w:hAnsi="宋体" w:eastAsia="宋体" w:cs="宋体"/>
          <w:b/>
          <w:bCs/>
          <w:spacing w:val="-24"/>
          <w:sz w:val="30"/>
          <w:szCs w:val="30"/>
        </w:rPr>
      </w:pPr>
    </w:p>
    <w:p w14:paraId="399CF556">
      <w:pPr>
        <w:spacing w:before="107" w:line="219" w:lineRule="auto"/>
        <w:jc w:val="center"/>
        <w:rPr>
          <w:rFonts w:ascii="宋体" w:hAnsi="宋体" w:eastAsia="宋体" w:cs="宋体"/>
          <w:b/>
          <w:bCs/>
          <w:spacing w:val="-24"/>
          <w:sz w:val="30"/>
          <w:szCs w:val="30"/>
        </w:rPr>
      </w:pPr>
    </w:p>
    <w:p w14:paraId="557CB384">
      <w:pPr>
        <w:spacing w:before="107" w:line="219" w:lineRule="auto"/>
        <w:jc w:val="center"/>
        <w:rPr>
          <w:rFonts w:ascii="宋体" w:hAnsi="宋体" w:eastAsia="宋体" w:cs="宋体"/>
          <w:b/>
          <w:bCs/>
          <w:spacing w:val="-24"/>
          <w:sz w:val="30"/>
          <w:szCs w:val="30"/>
        </w:rPr>
      </w:pPr>
    </w:p>
    <w:p w14:paraId="2BFFAF8A">
      <w:pPr>
        <w:spacing w:before="107" w:line="219" w:lineRule="auto"/>
        <w:jc w:val="center"/>
        <w:rPr>
          <w:rFonts w:ascii="宋体" w:hAnsi="宋体" w:eastAsia="宋体" w:cs="宋体"/>
          <w:b/>
          <w:bCs/>
          <w:spacing w:val="-24"/>
          <w:sz w:val="30"/>
          <w:szCs w:val="30"/>
        </w:rPr>
      </w:pPr>
      <w:r>
        <w:rPr>
          <w:rFonts w:ascii="宋体" w:hAnsi="宋体" w:eastAsia="宋体" w:cs="宋体"/>
          <w:b/>
          <w:bCs/>
          <w:spacing w:val="-24"/>
          <w:sz w:val="30"/>
          <w:szCs w:val="30"/>
        </w:rPr>
        <w:t>供应商(加盖公章):</w:t>
      </w:r>
    </w:p>
    <w:p w14:paraId="0AFDF9C8">
      <w:pPr>
        <w:spacing w:before="107" w:line="219" w:lineRule="auto"/>
        <w:rPr>
          <w:rFonts w:ascii="宋体" w:hAnsi="宋体" w:eastAsia="宋体" w:cs="宋体"/>
          <w:b/>
          <w:bCs/>
          <w:spacing w:val="-24"/>
          <w:sz w:val="30"/>
          <w:szCs w:val="30"/>
        </w:rPr>
      </w:pPr>
    </w:p>
    <w:p w14:paraId="4C642D6B">
      <w:pPr>
        <w:spacing w:line="275" w:lineRule="auto"/>
        <w:rPr>
          <w:rFonts w:ascii="Arial"/>
        </w:rPr>
      </w:pPr>
    </w:p>
    <w:p w14:paraId="3A2F51D1">
      <w:pPr>
        <w:spacing w:line="275" w:lineRule="auto"/>
        <w:rPr>
          <w:rFonts w:ascii="Arial"/>
        </w:rPr>
      </w:pPr>
    </w:p>
    <w:p w14:paraId="446280A3">
      <w:pPr>
        <w:spacing w:line="275" w:lineRule="auto"/>
        <w:rPr>
          <w:rFonts w:ascii="Arial"/>
        </w:rPr>
      </w:pPr>
    </w:p>
    <w:p w14:paraId="11EDD285">
      <w:pPr>
        <w:spacing w:line="275" w:lineRule="auto"/>
        <w:rPr>
          <w:rFonts w:ascii="Arial"/>
        </w:rPr>
      </w:pPr>
    </w:p>
    <w:p w14:paraId="6BB201F8">
      <w:pPr>
        <w:spacing w:before="107" w:line="219" w:lineRule="auto"/>
        <w:jc w:val="center"/>
        <w:rPr>
          <w:rFonts w:ascii="宋体" w:hAnsi="宋体" w:eastAsia="宋体" w:cs="宋体"/>
          <w:b/>
          <w:bCs/>
          <w:spacing w:val="-24"/>
          <w:sz w:val="30"/>
          <w:szCs w:val="30"/>
        </w:rPr>
      </w:pPr>
      <w:r>
        <w:rPr>
          <w:rFonts w:ascii="宋体" w:hAnsi="宋体" w:eastAsia="宋体" w:cs="宋体"/>
          <w:b/>
          <w:bCs/>
          <w:spacing w:val="-24"/>
          <w:sz w:val="30"/>
          <w:szCs w:val="30"/>
        </w:rPr>
        <w:t>日期：</w:t>
      </w:r>
    </w:p>
    <w:p w14:paraId="27027624">
      <w:pPr>
        <w:spacing w:before="107" w:line="219" w:lineRule="auto"/>
        <w:jc w:val="center"/>
        <w:rPr>
          <w:rFonts w:ascii="宋体" w:hAnsi="宋体" w:eastAsia="宋体" w:cs="宋体"/>
          <w:b/>
          <w:bCs/>
          <w:spacing w:val="-24"/>
          <w:sz w:val="30"/>
          <w:szCs w:val="30"/>
        </w:rPr>
        <w:sectPr>
          <w:headerReference r:id="rId7" w:type="default"/>
          <w:footerReference r:id="rId8" w:type="default"/>
          <w:pgSz w:w="11900" w:h="16840"/>
          <w:pgMar w:top="1129" w:right="1239" w:bottom="1391" w:left="1190" w:header="1120" w:footer="1262" w:gutter="0"/>
          <w:cols w:space="720" w:num="1"/>
        </w:sectPr>
      </w:pPr>
    </w:p>
    <w:p w14:paraId="247AFE0C">
      <w:pPr>
        <w:pStyle w:val="4"/>
        <w:spacing w:line="360" w:lineRule="auto"/>
        <w:jc w:val="center"/>
        <w:sectPr>
          <w:headerReference r:id="rId9" w:type="default"/>
          <w:footerReference r:id="rId10" w:type="default"/>
          <w:pgSz w:w="11906" w:h="16838"/>
          <w:pgMar w:top="1440" w:right="1242" w:bottom="1440" w:left="1242" w:header="851" w:footer="992" w:gutter="0"/>
          <w:cols w:space="425" w:num="1"/>
          <w:docGrid w:type="lines" w:linePitch="312" w:charSpace="0"/>
        </w:sectPr>
      </w:pPr>
      <w:bookmarkStart w:id="113" w:name="_Toc1031"/>
      <w:r>
        <w:rPr>
          <w:rFonts w:hint="eastAsia"/>
        </w:rPr>
        <w:t>一、资格部分</w:t>
      </w:r>
      <w:bookmarkEnd w:id="113"/>
    </w:p>
    <w:p w14:paraId="1D70EA54">
      <w:pPr>
        <w:jc w:val="center"/>
        <w:outlineLvl w:val="2"/>
        <w:rPr>
          <w:rFonts w:ascii="Times New Roman" w:hAnsi="Times New Roman" w:eastAsia="宋体" w:cs="Times New Roman"/>
          <w:sz w:val="28"/>
          <w:szCs w:val="28"/>
        </w:rPr>
      </w:pPr>
      <w:bookmarkStart w:id="114" w:name="_Toc4667"/>
      <w:r>
        <w:rPr>
          <w:rFonts w:hint="eastAsia" w:ascii="Times New Roman" w:hAnsi="Times New Roman" w:eastAsia="宋体" w:cs="Times New Roman"/>
          <w:sz w:val="28"/>
          <w:szCs w:val="28"/>
        </w:rPr>
        <w:t>（一）</w:t>
      </w:r>
      <w:r>
        <w:rPr>
          <w:rFonts w:ascii="Times New Roman" w:hAnsi="Times New Roman" w:eastAsia="宋体" w:cs="Times New Roman"/>
          <w:sz w:val="28"/>
          <w:szCs w:val="28"/>
        </w:rPr>
        <w:t>磋商承诺函</w:t>
      </w:r>
      <w:bookmarkEnd w:id="114"/>
    </w:p>
    <w:p w14:paraId="0FDA5570">
      <w:pPr>
        <w:spacing w:line="292" w:lineRule="auto"/>
        <w:rPr>
          <w:rFonts w:ascii="Arial"/>
        </w:rPr>
      </w:pPr>
    </w:p>
    <w:p w14:paraId="460C50A6">
      <w:pPr>
        <w:spacing w:line="292" w:lineRule="auto"/>
        <w:rPr>
          <w:rFonts w:ascii="Arial"/>
        </w:rPr>
      </w:pPr>
    </w:p>
    <w:p w14:paraId="617EDB86">
      <w:pPr>
        <w:spacing w:line="440" w:lineRule="exact"/>
        <w:rPr>
          <w:rFonts w:ascii="宋体" w:hAnsi="宋体" w:eastAsia="宋体" w:cs="宋体"/>
          <w:sz w:val="24"/>
        </w:rPr>
      </w:pPr>
      <w:r>
        <w:rPr>
          <w:rFonts w:hint="eastAsia" w:ascii="宋体" w:hAnsi="宋体" w:eastAsia="宋体" w:cs="宋体"/>
          <w:sz w:val="24"/>
        </w:rPr>
        <w:t>致：(磋商组织方)</w:t>
      </w:r>
    </w:p>
    <w:p w14:paraId="5AB8A11C">
      <w:pPr>
        <w:spacing w:line="440" w:lineRule="exact"/>
        <w:ind w:firstLine="480" w:firstLineChars="200"/>
        <w:rPr>
          <w:rFonts w:ascii="宋体" w:hAnsi="宋体" w:eastAsia="宋体" w:cs="宋体"/>
          <w:sz w:val="24"/>
        </w:rPr>
      </w:pPr>
      <w:r>
        <w:rPr>
          <w:rFonts w:hint="eastAsia" w:ascii="宋体" w:hAnsi="宋体" w:eastAsia="宋体" w:cs="宋体"/>
          <w:sz w:val="24"/>
        </w:rPr>
        <w:t>根据贵方关于的磋商邀请，我方已完全理解磋商文件的所有内容。</w:t>
      </w:r>
    </w:p>
    <w:p w14:paraId="78098B8E">
      <w:pPr>
        <w:spacing w:line="440" w:lineRule="exact"/>
        <w:ind w:firstLine="480" w:firstLineChars="200"/>
        <w:rPr>
          <w:rFonts w:ascii="宋体" w:hAnsi="宋体" w:eastAsia="宋体" w:cs="宋体"/>
          <w:sz w:val="24"/>
        </w:rPr>
      </w:pPr>
      <w:r>
        <w:rPr>
          <w:rFonts w:hint="eastAsia" w:ascii="宋体" w:hAnsi="宋体" w:eastAsia="宋体" w:cs="宋体"/>
          <w:sz w:val="24"/>
        </w:rPr>
        <w:t>据此函，我方兹宣布同意如下：</w:t>
      </w:r>
    </w:p>
    <w:p w14:paraId="213BC55E">
      <w:pPr>
        <w:spacing w:line="440" w:lineRule="exact"/>
        <w:ind w:firstLine="480" w:firstLineChars="200"/>
        <w:rPr>
          <w:rFonts w:ascii="宋体" w:hAnsi="宋体" w:eastAsia="宋体" w:cs="宋体"/>
          <w:sz w:val="24"/>
        </w:rPr>
      </w:pPr>
      <w:r>
        <w:rPr>
          <w:rFonts w:hint="eastAsia" w:ascii="宋体" w:hAnsi="宋体" w:eastAsia="宋体" w:cs="宋体"/>
          <w:sz w:val="24"/>
        </w:rPr>
        <w:t>1.我方承诺：我方完全具备《政府采购法》第二十二条第一款规定的条件以及本项目</w:t>
      </w:r>
    </w:p>
    <w:p w14:paraId="0D0F6784">
      <w:pPr>
        <w:spacing w:line="440" w:lineRule="exact"/>
        <w:rPr>
          <w:rFonts w:ascii="宋体" w:hAnsi="宋体" w:eastAsia="宋体" w:cs="宋体"/>
          <w:sz w:val="24"/>
        </w:rPr>
      </w:pPr>
      <w:r>
        <w:rPr>
          <w:rFonts w:hint="eastAsia" w:ascii="宋体" w:hAnsi="宋体" w:eastAsia="宋体" w:cs="宋体"/>
          <w:sz w:val="24"/>
        </w:rPr>
        <w:t>磋商文件规定的参加磋商供应商须满足的特定条件。</w:t>
      </w:r>
    </w:p>
    <w:p w14:paraId="2302E78E">
      <w:pPr>
        <w:spacing w:line="440" w:lineRule="exact"/>
        <w:ind w:firstLine="480" w:firstLineChars="200"/>
        <w:rPr>
          <w:rFonts w:ascii="宋体" w:hAnsi="宋体" w:eastAsia="宋体" w:cs="宋体"/>
          <w:sz w:val="24"/>
        </w:rPr>
      </w:pPr>
      <w:r>
        <w:rPr>
          <w:rFonts w:hint="eastAsia" w:ascii="宋体" w:hAnsi="宋体" w:eastAsia="宋体" w:cs="宋体"/>
          <w:sz w:val="24"/>
        </w:rPr>
        <w:t>2.我方承诺：参加本次采购活动前三年内，在经营活动中没有重大违法记录。</w:t>
      </w:r>
    </w:p>
    <w:p w14:paraId="4179F9B1">
      <w:pPr>
        <w:spacing w:line="440" w:lineRule="exact"/>
        <w:ind w:firstLine="480" w:firstLineChars="200"/>
        <w:rPr>
          <w:rFonts w:ascii="宋体" w:hAnsi="宋体" w:eastAsia="宋体" w:cs="宋体"/>
          <w:sz w:val="24"/>
        </w:rPr>
      </w:pPr>
      <w:r>
        <w:rPr>
          <w:rFonts w:hint="eastAsia" w:ascii="宋体" w:hAnsi="宋体" w:eastAsia="宋体" w:cs="宋体"/>
          <w:sz w:val="24"/>
        </w:rPr>
        <w:t>3.我方承诺：我方信用记录中没有被列入失信被执行人、没有被列入重大税收违法案</w:t>
      </w:r>
    </w:p>
    <w:p w14:paraId="7F6CE399">
      <w:pPr>
        <w:spacing w:line="440" w:lineRule="exact"/>
        <w:rPr>
          <w:rFonts w:ascii="宋体" w:hAnsi="宋体" w:eastAsia="宋体" w:cs="宋体"/>
          <w:sz w:val="24"/>
        </w:rPr>
      </w:pPr>
      <w:r>
        <w:rPr>
          <w:rFonts w:hint="eastAsia" w:ascii="宋体" w:hAnsi="宋体" w:eastAsia="宋体" w:cs="宋体"/>
          <w:sz w:val="24"/>
        </w:rPr>
        <w:t>件名单、没有被列入政府采购违法失信行为记录名单。</w:t>
      </w:r>
    </w:p>
    <w:p w14:paraId="0F645ECB">
      <w:pPr>
        <w:spacing w:line="440" w:lineRule="exact"/>
        <w:ind w:firstLine="480" w:firstLineChars="200"/>
        <w:rPr>
          <w:rFonts w:ascii="宋体" w:hAnsi="宋体" w:eastAsia="宋体" w:cs="宋体"/>
          <w:sz w:val="24"/>
        </w:rPr>
      </w:pPr>
      <w:r>
        <w:rPr>
          <w:rFonts w:hint="eastAsia" w:ascii="宋体" w:hAnsi="宋体" w:eastAsia="宋体" w:cs="宋体"/>
          <w:sz w:val="24"/>
        </w:rPr>
        <w:t>4.我方承诺按磋商文件要求提供的服务及货物的磋商报价见报价一览表。</w:t>
      </w:r>
    </w:p>
    <w:p w14:paraId="18954F1D">
      <w:pPr>
        <w:spacing w:line="440" w:lineRule="exact"/>
        <w:ind w:firstLine="480" w:firstLineChars="200"/>
        <w:rPr>
          <w:rFonts w:ascii="宋体" w:hAnsi="宋体" w:eastAsia="宋体" w:cs="宋体"/>
          <w:sz w:val="24"/>
        </w:rPr>
      </w:pPr>
      <w:r>
        <w:rPr>
          <w:rFonts w:hint="eastAsia" w:ascii="宋体" w:hAnsi="宋体" w:eastAsia="宋体" w:cs="宋体"/>
          <w:sz w:val="24"/>
        </w:rPr>
        <w:t>5.我方承诺根据磋商文件的规定，完成合同义务，并承担责任(如有偏离，在响应文</w:t>
      </w:r>
    </w:p>
    <w:p w14:paraId="3308DC4F">
      <w:pPr>
        <w:spacing w:line="440" w:lineRule="exact"/>
        <w:rPr>
          <w:rFonts w:ascii="宋体" w:hAnsi="宋体" w:eastAsia="宋体" w:cs="宋体"/>
          <w:sz w:val="24"/>
        </w:rPr>
      </w:pPr>
      <w:r>
        <w:rPr>
          <w:rFonts w:hint="eastAsia" w:ascii="宋体" w:hAnsi="宋体" w:eastAsia="宋体" w:cs="宋体"/>
          <w:sz w:val="24"/>
        </w:rPr>
        <w:t>件中另作说明)。</w:t>
      </w:r>
    </w:p>
    <w:p w14:paraId="75F89531">
      <w:pPr>
        <w:spacing w:line="440" w:lineRule="exact"/>
        <w:ind w:firstLine="480" w:firstLineChars="200"/>
        <w:rPr>
          <w:rFonts w:ascii="宋体" w:hAnsi="宋体" w:eastAsia="宋体" w:cs="宋体"/>
          <w:sz w:val="24"/>
        </w:rPr>
      </w:pPr>
      <w:r>
        <w:rPr>
          <w:rFonts w:hint="eastAsia" w:ascii="宋体" w:hAnsi="宋体" w:eastAsia="宋体" w:cs="宋体"/>
          <w:sz w:val="24"/>
        </w:rPr>
        <w:t>6.我方已详读全部磋商文件，包括磋商文件书面修改通知(如有),我方完全理解并</w:t>
      </w:r>
    </w:p>
    <w:p w14:paraId="5C80787A">
      <w:pPr>
        <w:spacing w:line="440" w:lineRule="exact"/>
        <w:rPr>
          <w:rFonts w:ascii="宋体" w:hAnsi="宋体" w:eastAsia="宋体" w:cs="宋体"/>
          <w:sz w:val="24"/>
        </w:rPr>
      </w:pPr>
      <w:r>
        <w:rPr>
          <w:rFonts w:hint="eastAsia" w:ascii="宋体" w:hAnsi="宋体" w:eastAsia="宋体" w:cs="宋体"/>
          <w:sz w:val="24"/>
        </w:rPr>
        <w:t>同意放弃对这方面不明及误解的权利。</w:t>
      </w:r>
    </w:p>
    <w:p w14:paraId="479ACDF1">
      <w:pPr>
        <w:spacing w:line="440" w:lineRule="exact"/>
        <w:ind w:firstLine="480" w:firstLineChars="200"/>
        <w:rPr>
          <w:rFonts w:ascii="宋体" w:hAnsi="宋体" w:eastAsia="宋体" w:cs="宋体"/>
          <w:sz w:val="24"/>
        </w:rPr>
      </w:pPr>
      <w:r>
        <w:rPr>
          <w:rFonts w:hint="eastAsia" w:ascii="宋体" w:hAnsi="宋体" w:eastAsia="宋体" w:cs="宋体"/>
          <w:sz w:val="24"/>
        </w:rPr>
        <w:t>7.我方承诺响应文件及所有材料的完整、真实、合法、有效，并对其负责。承诺在</w:t>
      </w:r>
    </w:p>
    <w:p w14:paraId="18DB666D">
      <w:pPr>
        <w:spacing w:line="440" w:lineRule="exact"/>
        <w:rPr>
          <w:rFonts w:ascii="宋体" w:hAnsi="宋体" w:eastAsia="宋体" w:cs="宋体"/>
          <w:sz w:val="24"/>
        </w:rPr>
      </w:pPr>
      <w:r>
        <w:rPr>
          <w:rFonts w:hint="eastAsia" w:ascii="宋体" w:hAnsi="宋体" w:eastAsia="宋体" w:cs="宋体"/>
          <w:sz w:val="24"/>
        </w:rPr>
        <w:t>磋商期间，如磋商小组对我方提出澄清要求，将及时作出响应，否则自行承担后果。</w:t>
      </w:r>
    </w:p>
    <w:p w14:paraId="33F52F34">
      <w:pPr>
        <w:spacing w:line="440" w:lineRule="exact"/>
        <w:ind w:firstLine="480" w:firstLineChars="200"/>
        <w:rPr>
          <w:rFonts w:ascii="宋体" w:hAnsi="宋体" w:eastAsia="宋体" w:cs="宋体"/>
          <w:sz w:val="24"/>
        </w:rPr>
      </w:pPr>
      <w:r>
        <w:rPr>
          <w:rFonts w:hint="eastAsia" w:ascii="宋体" w:hAnsi="宋体" w:eastAsia="宋体" w:cs="宋体"/>
          <w:sz w:val="24"/>
        </w:rPr>
        <w:t>8.我方同意从规定的磋商日期起遵循本磋商文件，并在规定的磋商有效期期满之前</w:t>
      </w:r>
    </w:p>
    <w:p w14:paraId="60209BEE">
      <w:pPr>
        <w:spacing w:line="440" w:lineRule="exact"/>
        <w:rPr>
          <w:rFonts w:ascii="宋体" w:hAnsi="宋体" w:eastAsia="宋体" w:cs="宋体"/>
          <w:sz w:val="24"/>
        </w:rPr>
      </w:pPr>
      <w:r>
        <w:rPr>
          <w:rFonts w:hint="eastAsia" w:ascii="宋体" w:hAnsi="宋体" w:eastAsia="宋体" w:cs="宋体"/>
          <w:sz w:val="24"/>
        </w:rPr>
        <w:t>均具有约束力。</w:t>
      </w:r>
    </w:p>
    <w:p w14:paraId="5E0AE295">
      <w:pPr>
        <w:spacing w:line="440" w:lineRule="exact"/>
        <w:ind w:firstLine="480" w:firstLineChars="200"/>
        <w:rPr>
          <w:rFonts w:ascii="宋体" w:hAnsi="宋体" w:eastAsia="宋体" w:cs="宋体"/>
          <w:sz w:val="24"/>
        </w:rPr>
      </w:pPr>
      <w:r>
        <w:rPr>
          <w:rFonts w:hint="eastAsia" w:ascii="宋体" w:hAnsi="宋体" w:eastAsia="宋体" w:cs="宋体"/>
          <w:sz w:val="24"/>
        </w:rPr>
        <w:t>9.我方同意向贵方提供贵方可能要求的与本磋商有关的任何证据或资料。</w:t>
      </w:r>
    </w:p>
    <w:p w14:paraId="62A36843">
      <w:pPr>
        <w:spacing w:line="440" w:lineRule="exact"/>
        <w:ind w:firstLine="480" w:firstLineChars="200"/>
        <w:rPr>
          <w:rFonts w:ascii="宋体" w:hAnsi="宋体" w:eastAsia="宋体" w:cs="宋体"/>
          <w:sz w:val="24"/>
        </w:rPr>
      </w:pPr>
      <w:r>
        <w:rPr>
          <w:rFonts w:hint="eastAsia" w:ascii="宋体" w:hAnsi="宋体" w:eastAsia="宋体" w:cs="宋体"/>
          <w:sz w:val="24"/>
        </w:rPr>
        <w:t>10.我方知道如用虚假材料或恶意方式向贵方提出质疑，将承担相应的法律责任。同</w:t>
      </w:r>
    </w:p>
    <w:p w14:paraId="31E3AF07">
      <w:pPr>
        <w:spacing w:line="440" w:lineRule="exact"/>
        <w:rPr>
          <w:rFonts w:ascii="宋体" w:hAnsi="宋体" w:eastAsia="宋体" w:cs="宋体"/>
          <w:sz w:val="24"/>
        </w:rPr>
      </w:pPr>
      <w:r>
        <w:rPr>
          <w:rFonts w:hint="eastAsia" w:ascii="宋体" w:hAnsi="宋体" w:eastAsia="宋体" w:cs="宋体"/>
          <w:sz w:val="24"/>
        </w:rPr>
        <w:t>时承诺：我方如果有上述行为，将无条件承担贵方相关的调查论证费用。</w:t>
      </w:r>
    </w:p>
    <w:p w14:paraId="06BE6D79">
      <w:pPr>
        <w:spacing w:line="440" w:lineRule="exact"/>
        <w:ind w:firstLine="480" w:firstLineChars="200"/>
        <w:rPr>
          <w:rFonts w:ascii="宋体" w:hAnsi="宋体" w:eastAsia="宋体" w:cs="宋体"/>
          <w:sz w:val="24"/>
        </w:rPr>
      </w:pPr>
      <w:r>
        <w:rPr>
          <w:rFonts w:hint="eastAsia" w:ascii="宋体" w:hAnsi="宋体" w:eastAsia="宋体" w:cs="宋体"/>
          <w:sz w:val="24"/>
        </w:rPr>
        <w:t>11.本次响应文件内容与磋商文件内容偏离见磋商偏离表(如果有)。</w:t>
      </w:r>
    </w:p>
    <w:p w14:paraId="527A6AD6">
      <w:pPr>
        <w:spacing w:line="440" w:lineRule="exact"/>
        <w:ind w:firstLine="480" w:firstLineChars="200"/>
        <w:rPr>
          <w:rFonts w:ascii="宋体" w:hAnsi="宋体" w:eastAsia="宋体" w:cs="宋体"/>
          <w:sz w:val="24"/>
        </w:rPr>
      </w:pPr>
      <w:r>
        <w:rPr>
          <w:rFonts w:hint="eastAsia" w:ascii="宋体" w:hAnsi="宋体" w:eastAsia="宋体" w:cs="宋体"/>
          <w:sz w:val="24"/>
        </w:rPr>
        <w:t>12.遵守磋商文件中要求的收费项目和标准。</w:t>
      </w:r>
    </w:p>
    <w:p w14:paraId="3D617034">
      <w:pPr>
        <w:spacing w:line="440" w:lineRule="exact"/>
        <w:ind w:firstLine="480" w:firstLineChars="200"/>
        <w:rPr>
          <w:rFonts w:ascii="宋体" w:hAnsi="宋体" w:eastAsia="宋体" w:cs="宋体"/>
          <w:sz w:val="24"/>
        </w:rPr>
      </w:pPr>
      <w:r>
        <w:rPr>
          <w:rFonts w:hint="eastAsia" w:ascii="宋体" w:hAnsi="宋体" w:eastAsia="宋体" w:cs="宋体"/>
          <w:sz w:val="24"/>
        </w:rPr>
        <w:t>13.我方将严格遵守《中华人民共和国政府采购法》,若存在违法违规行为，自愿承</w:t>
      </w:r>
    </w:p>
    <w:p w14:paraId="5E1A5A46">
      <w:pPr>
        <w:spacing w:line="440" w:lineRule="exact"/>
        <w:rPr>
          <w:rFonts w:ascii="宋体" w:hAnsi="宋体" w:eastAsia="宋体" w:cs="宋体"/>
          <w:sz w:val="24"/>
        </w:rPr>
      </w:pPr>
      <w:r>
        <w:rPr>
          <w:rFonts w:hint="eastAsia" w:ascii="宋体" w:hAnsi="宋体" w:eastAsia="宋体" w:cs="宋体"/>
          <w:sz w:val="24"/>
        </w:rPr>
        <w:t>担相应的法律后果。</w:t>
      </w:r>
    </w:p>
    <w:p w14:paraId="34061209">
      <w:pPr>
        <w:spacing w:line="440" w:lineRule="exact"/>
        <w:ind w:firstLine="480" w:firstLineChars="200"/>
        <w:rPr>
          <w:rFonts w:ascii="宋体" w:hAnsi="宋体" w:eastAsia="宋体" w:cs="宋体"/>
          <w:sz w:val="24"/>
        </w:rPr>
      </w:pPr>
      <w:r>
        <w:rPr>
          <w:rFonts w:hint="eastAsia" w:ascii="宋体" w:hAnsi="宋体" w:eastAsia="宋体" w:cs="宋体"/>
          <w:sz w:val="24"/>
        </w:rPr>
        <w:t>14.与本磋商有关的一切正式往来通讯请寄：</w:t>
      </w:r>
    </w:p>
    <w:p w14:paraId="67EEBE9B">
      <w:pPr>
        <w:spacing w:line="440" w:lineRule="exact"/>
        <w:ind w:left="2520" w:leftChars="1200"/>
        <w:rPr>
          <w:rFonts w:ascii="宋体" w:hAnsi="宋体" w:eastAsia="宋体" w:cs="宋体"/>
          <w:sz w:val="24"/>
        </w:rPr>
      </w:pPr>
      <w:r>
        <w:rPr>
          <w:rFonts w:hint="eastAsia" w:ascii="宋体" w:hAnsi="宋体" w:eastAsia="宋体" w:cs="宋体"/>
          <w:sz w:val="24"/>
        </w:rPr>
        <w:t>地址：电话：</w:t>
      </w:r>
    </w:p>
    <w:p w14:paraId="4D132A42">
      <w:pPr>
        <w:spacing w:line="440" w:lineRule="exact"/>
        <w:ind w:left="2520" w:leftChars="1200"/>
        <w:rPr>
          <w:rFonts w:ascii="宋体" w:hAnsi="宋体" w:eastAsia="宋体" w:cs="宋体"/>
          <w:sz w:val="24"/>
        </w:rPr>
      </w:pPr>
      <w:r>
        <w:rPr>
          <w:rFonts w:hint="eastAsia" w:ascii="宋体" w:hAnsi="宋体" w:eastAsia="宋体" w:cs="宋体"/>
          <w:sz w:val="24"/>
        </w:rPr>
        <w:t>传真：邮政编码：</w:t>
      </w:r>
    </w:p>
    <w:p w14:paraId="7348F9AB">
      <w:pPr>
        <w:spacing w:line="440" w:lineRule="exact"/>
        <w:ind w:left="2520" w:leftChars="1200"/>
        <w:rPr>
          <w:rFonts w:ascii="宋体" w:hAnsi="宋体" w:eastAsia="宋体" w:cs="宋体"/>
          <w:sz w:val="24"/>
        </w:rPr>
      </w:pPr>
      <w:r>
        <w:rPr>
          <w:rFonts w:hint="eastAsia" w:ascii="宋体" w:hAnsi="宋体" w:eastAsia="宋体" w:cs="宋体"/>
          <w:sz w:val="24"/>
        </w:rPr>
        <w:t>供应商(公章):</w:t>
      </w:r>
    </w:p>
    <w:p w14:paraId="519F1134">
      <w:pPr>
        <w:spacing w:line="440" w:lineRule="exact"/>
        <w:ind w:left="2520" w:leftChars="1200"/>
        <w:rPr>
          <w:rFonts w:ascii="宋体" w:hAnsi="宋体" w:eastAsia="宋体" w:cs="宋体"/>
          <w:sz w:val="24"/>
        </w:rPr>
      </w:pPr>
      <w:r>
        <w:rPr>
          <w:rFonts w:hint="eastAsia" w:ascii="宋体" w:hAnsi="宋体" w:eastAsia="宋体" w:cs="宋体"/>
          <w:sz w:val="24"/>
        </w:rPr>
        <w:t>法定代表人签章：</w:t>
      </w:r>
    </w:p>
    <w:p w14:paraId="5E63C9F0">
      <w:pPr>
        <w:spacing w:line="440" w:lineRule="exact"/>
        <w:ind w:left="2520" w:leftChars="1200"/>
        <w:rPr>
          <w:rFonts w:ascii="宋体" w:hAnsi="宋体" w:eastAsia="宋体" w:cs="宋体"/>
          <w:sz w:val="24"/>
        </w:rPr>
      </w:pPr>
      <w:r>
        <w:rPr>
          <w:rFonts w:hint="eastAsia" w:ascii="宋体" w:hAnsi="宋体" w:eastAsia="宋体" w:cs="宋体"/>
          <w:sz w:val="24"/>
        </w:rPr>
        <w:t>日期：</w:t>
      </w:r>
    </w:p>
    <w:p w14:paraId="3546D20E">
      <w:pPr>
        <w:spacing w:line="440" w:lineRule="exact"/>
        <w:ind w:left="2520" w:leftChars="1200"/>
        <w:rPr>
          <w:rFonts w:ascii="宋体" w:hAnsi="宋体" w:eastAsia="宋体" w:cs="宋体"/>
          <w:sz w:val="24"/>
        </w:rPr>
        <w:sectPr>
          <w:footerReference r:id="rId11" w:type="default"/>
          <w:pgSz w:w="11900" w:h="16840"/>
          <w:pgMar w:top="1129" w:right="1239" w:bottom="1391" w:left="1190" w:header="1120" w:footer="1262" w:gutter="0"/>
          <w:cols w:space="720" w:num="1"/>
        </w:sectPr>
      </w:pPr>
    </w:p>
    <w:p w14:paraId="78F54311">
      <w:pPr>
        <w:jc w:val="center"/>
        <w:outlineLvl w:val="2"/>
        <w:rPr>
          <w:rFonts w:ascii="Times New Roman" w:hAnsi="Times New Roman" w:eastAsia="宋体" w:cs="Times New Roman"/>
          <w:sz w:val="28"/>
          <w:szCs w:val="28"/>
        </w:rPr>
      </w:pPr>
      <w:bookmarkStart w:id="115" w:name="_bookmark71"/>
      <w:bookmarkEnd w:id="115"/>
      <w:bookmarkStart w:id="116" w:name="_Toc28419"/>
      <w:r>
        <w:rPr>
          <w:rFonts w:hint="eastAsia" w:ascii="Times New Roman" w:hAnsi="Times New Roman" w:eastAsia="宋体" w:cs="Times New Roman"/>
          <w:sz w:val="28"/>
          <w:szCs w:val="28"/>
        </w:rPr>
        <w:t>（二）</w:t>
      </w:r>
      <w:r>
        <w:rPr>
          <w:rFonts w:ascii="Times New Roman" w:hAnsi="Times New Roman" w:eastAsia="宋体" w:cs="Times New Roman"/>
          <w:sz w:val="28"/>
          <w:szCs w:val="28"/>
        </w:rPr>
        <w:t>独立承担民事责任的能力</w:t>
      </w:r>
      <w:bookmarkEnd w:id="116"/>
    </w:p>
    <w:p w14:paraId="741AD729">
      <w:pPr>
        <w:spacing w:line="440" w:lineRule="exact"/>
        <w:ind w:firstLine="480" w:firstLineChars="200"/>
        <w:rPr>
          <w:rFonts w:ascii="宋体" w:hAnsi="宋体" w:eastAsia="宋体" w:cs="宋体"/>
          <w:sz w:val="24"/>
        </w:rPr>
        <w:sectPr>
          <w:footerReference r:id="rId12" w:type="default"/>
          <w:pgSz w:w="11900" w:h="16840"/>
          <w:pgMar w:top="1129" w:right="1239" w:bottom="1391" w:left="1190" w:header="1120" w:footer="1262" w:gutter="0"/>
          <w:cols w:space="720" w:num="1"/>
        </w:sectPr>
      </w:pPr>
    </w:p>
    <w:p w14:paraId="44BD46FE">
      <w:pPr>
        <w:jc w:val="center"/>
        <w:outlineLvl w:val="2"/>
        <w:rPr>
          <w:rFonts w:ascii="Times New Roman" w:hAnsi="Times New Roman" w:eastAsia="宋体" w:cs="Times New Roman"/>
          <w:sz w:val="28"/>
          <w:szCs w:val="28"/>
        </w:rPr>
      </w:pPr>
      <w:bookmarkStart w:id="117" w:name="_bookmark72"/>
      <w:bookmarkEnd w:id="117"/>
      <w:bookmarkStart w:id="118" w:name="_Toc9772"/>
      <w:r>
        <w:rPr>
          <w:rFonts w:hint="eastAsia" w:ascii="Times New Roman" w:hAnsi="Times New Roman" w:eastAsia="宋体" w:cs="Times New Roman"/>
          <w:sz w:val="28"/>
          <w:szCs w:val="28"/>
        </w:rPr>
        <w:t>（三）</w:t>
      </w:r>
      <w:r>
        <w:rPr>
          <w:rFonts w:ascii="Times New Roman" w:hAnsi="Times New Roman" w:eastAsia="宋体" w:cs="Times New Roman"/>
          <w:sz w:val="28"/>
          <w:szCs w:val="28"/>
        </w:rPr>
        <w:t>良好的商业信誉和健全的财务会计制度</w:t>
      </w:r>
      <w:bookmarkEnd w:id="118"/>
    </w:p>
    <w:p w14:paraId="2C5944EF">
      <w:pPr>
        <w:spacing w:line="266" w:lineRule="auto"/>
        <w:rPr>
          <w:rFonts w:ascii="Arial"/>
        </w:rPr>
      </w:pPr>
    </w:p>
    <w:p w14:paraId="77B64350">
      <w:pPr>
        <w:spacing w:line="440" w:lineRule="exact"/>
        <w:ind w:firstLine="480" w:firstLineChars="200"/>
        <w:rPr>
          <w:rFonts w:ascii="宋体" w:hAnsi="宋体" w:eastAsia="宋体" w:cs="宋体"/>
          <w:sz w:val="24"/>
        </w:rPr>
        <w:sectPr>
          <w:footerReference r:id="rId13" w:type="default"/>
          <w:pgSz w:w="11900" w:h="16840"/>
          <w:pgMar w:top="1129" w:right="1239" w:bottom="1391" w:left="1190" w:header="1120" w:footer="1262" w:gutter="0"/>
          <w:cols w:space="720" w:num="1"/>
        </w:sectPr>
      </w:pPr>
    </w:p>
    <w:p w14:paraId="264140A3">
      <w:pPr>
        <w:jc w:val="center"/>
        <w:outlineLvl w:val="2"/>
        <w:rPr>
          <w:rFonts w:ascii="Times New Roman" w:hAnsi="Times New Roman" w:eastAsia="宋体" w:cs="Times New Roman"/>
          <w:sz w:val="28"/>
          <w:szCs w:val="28"/>
        </w:rPr>
      </w:pPr>
      <w:bookmarkStart w:id="119" w:name="_Toc11553"/>
      <w:r>
        <w:rPr>
          <w:rFonts w:hint="eastAsia" w:ascii="Times New Roman" w:hAnsi="Times New Roman" w:eastAsia="宋体" w:cs="Times New Roman"/>
          <w:sz w:val="28"/>
          <w:szCs w:val="28"/>
        </w:rPr>
        <w:t>（四）</w:t>
      </w:r>
      <w:r>
        <w:rPr>
          <w:rFonts w:ascii="Times New Roman" w:hAnsi="Times New Roman" w:eastAsia="宋体" w:cs="Times New Roman"/>
          <w:sz w:val="28"/>
          <w:szCs w:val="28"/>
        </w:rPr>
        <w:t>履行合同所必需的设备和专业技术能力</w:t>
      </w:r>
      <w:bookmarkEnd w:id="119"/>
    </w:p>
    <w:p w14:paraId="6E4F39C7">
      <w:pPr>
        <w:spacing w:line="360" w:lineRule="auto"/>
        <w:jc w:val="center"/>
        <w:rPr>
          <w:rFonts w:hint="eastAsia" w:ascii="宋体" w:hAnsi="宋体" w:eastAsia="宋体"/>
          <w:bCs w:val="0"/>
          <w:color w:val="auto"/>
          <w:sz w:val="36"/>
          <w:szCs w:val="36"/>
          <w:highlight w:val="none"/>
          <w:lang w:val="zh-CN"/>
        </w:rPr>
      </w:pPr>
      <w:r>
        <w:rPr>
          <w:rFonts w:hint="eastAsia" w:ascii="宋体" w:hAnsi="宋体" w:eastAsia="宋体"/>
          <w:bCs w:val="0"/>
          <w:color w:val="auto"/>
          <w:sz w:val="36"/>
          <w:szCs w:val="36"/>
          <w:highlight w:val="none"/>
          <w:lang w:val="zh-CN"/>
        </w:rPr>
        <w:t>具备履行合同所必需的设备和专业技术能力的声明格式</w:t>
      </w:r>
    </w:p>
    <w:p w14:paraId="6E15FCBA">
      <w:pPr>
        <w:spacing w:line="360" w:lineRule="auto"/>
        <w:rPr>
          <w:rFonts w:hint="eastAsia" w:ascii="宋体" w:hAnsi="宋体" w:eastAsia="宋体"/>
          <w:bCs w:val="0"/>
          <w:color w:val="auto"/>
          <w:sz w:val="21"/>
          <w:szCs w:val="22"/>
          <w:highlight w:val="none"/>
        </w:rPr>
      </w:pPr>
      <w:r>
        <w:rPr>
          <w:rFonts w:hint="eastAsia" w:ascii="宋体" w:hAnsi="宋体" w:eastAsia="宋体"/>
          <w:bCs w:val="0"/>
          <w:color w:val="auto"/>
          <w:sz w:val="21"/>
          <w:szCs w:val="22"/>
          <w:highlight w:val="none"/>
          <w:lang w:val="zh-CN"/>
        </w:rPr>
        <w:t>南京市栖霞区长江堤防管理所</w:t>
      </w:r>
      <w:r>
        <w:rPr>
          <w:rFonts w:hint="eastAsia" w:ascii="宋体" w:hAnsi="宋体" w:eastAsia="宋体"/>
          <w:bCs w:val="0"/>
          <w:color w:val="auto"/>
          <w:sz w:val="21"/>
          <w:szCs w:val="22"/>
          <w:highlight w:val="none"/>
        </w:rPr>
        <w:t>：</w:t>
      </w:r>
    </w:p>
    <w:p w14:paraId="60690E27">
      <w:pPr>
        <w:spacing w:line="360" w:lineRule="auto"/>
        <w:ind w:firstLine="420"/>
        <w:rPr>
          <w:rFonts w:hint="eastAsia" w:ascii="宋体" w:hAnsi="宋体" w:eastAsia="宋体"/>
          <w:bCs w:val="0"/>
          <w:color w:val="auto"/>
          <w:sz w:val="21"/>
          <w:szCs w:val="22"/>
          <w:highlight w:val="none"/>
        </w:rPr>
      </w:pPr>
      <w:r>
        <w:rPr>
          <w:rFonts w:hint="eastAsia" w:ascii="宋体" w:hAnsi="宋体" w:eastAsia="宋体"/>
          <w:bCs w:val="0"/>
          <w:color w:val="auto"/>
          <w:sz w:val="21"/>
          <w:szCs w:val="22"/>
          <w:highlight w:val="none"/>
        </w:rPr>
        <w:t>我单位</w:t>
      </w:r>
      <w:r>
        <w:rPr>
          <w:rFonts w:hint="eastAsia" w:ascii="宋体" w:hAnsi="宋体" w:eastAsia="宋体"/>
          <w:bCs w:val="0"/>
          <w:color w:val="auto"/>
          <w:sz w:val="21"/>
          <w:szCs w:val="22"/>
          <w:highlight w:val="none"/>
          <w:u w:val="single"/>
        </w:rPr>
        <w:t xml:space="preserve">                             </w:t>
      </w:r>
      <w:r>
        <w:rPr>
          <w:rFonts w:hint="eastAsia" w:ascii="宋体" w:hAnsi="宋体" w:eastAsia="宋体"/>
          <w:bCs w:val="0"/>
          <w:color w:val="auto"/>
          <w:sz w:val="21"/>
          <w:szCs w:val="22"/>
          <w:highlight w:val="none"/>
        </w:rPr>
        <w:t>（供应商名称）郑重声明：我公司具备履行本项采购合同所必需的设备和专业技术能力，为履行本项采购合同我单位具备如下主要设备和主要专业技术能力：</w:t>
      </w:r>
    </w:p>
    <w:p w14:paraId="4C75D766">
      <w:pPr>
        <w:spacing w:line="360" w:lineRule="auto"/>
        <w:rPr>
          <w:rFonts w:hint="eastAsia" w:ascii="宋体" w:hAnsi="宋体" w:eastAsia="宋体"/>
          <w:bCs w:val="0"/>
          <w:color w:val="auto"/>
          <w:sz w:val="21"/>
          <w:szCs w:val="22"/>
          <w:highlight w:val="none"/>
          <w:lang w:eastAsia="zh-CN"/>
        </w:rPr>
      </w:pPr>
      <w:r>
        <w:rPr>
          <w:rFonts w:hint="eastAsia" w:ascii="宋体" w:hAnsi="宋体" w:eastAsia="宋体"/>
          <w:bCs w:val="0"/>
          <w:color w:val="auto"/>
          <w:sz w:val="21"/>
          <w:szCs w:val="22"/>
          <w:highlight w:val="none"/>
        </w:rPr>
        <w:t>主要设备有：</w:t>
      </w:r>
      <w:r>
        <w:rPr>
          <w:rFonts w:hint="eastAsia" w:ascii="宋体" w:hAnsi="宋体" w:eastAsia="宋体"/>
          <w:bCs w:val="0"/>
          <w:color w:val="auto"/>
          <w:sz w:val="21"/>
          <w:szCs w:val="22"/>
          <w:highlight w:val="none"/>
          <w:u w:val="single"/>
        </w:rPr>
        <w:t xml:space="preserve">                         </w:t>
      </w:r>
      <w:r>
        <w:rPr>
          <w:rFonts w:hint="eastAsia" w:ascii="宋体" w:hAnsi="宋体" w:eastAsia="宋体"/>
          <w:bCs w:val="0"/>
          <w:color w:val="auto"/>
          <w:sz w:val="21"/>
          <w:szCs w:val="22"/>
          <w:highlight w:val="none"/>
        </w:rPr>
        <w:t>。</w:t>
      </w:r>
      <w:r>
        <w:rPr>
          <w:rFonts w:hint="eastAsia" w:ascii="宋体" w:hAnsi="宋体" w:eastAsia="宋体"/>
          <w:bCs w:val="0"/>
          <w:color w:val="auto"/>
          <w:sz w:val="21"/>
          <w:szCs w:val="22"/>
          <w:highlight w:val="none"/>
          <w:lang w:eastAsia="zh-CN"/>
        </w:rPr>
        <w:t>（</w:t>
      </w:r>
      <w:r>
        <w:rPr>
          <w:rFonts w:hint="eastAsia" w:ascii="宋体" w:hAnsi="宋体" w:eastAsia="宋体"/>
          <w:bCs w:val="0"/>
          <w:color w:val="auto"/>
          <w:sz w:val="21"/>
          <w:szCs w:val="22"/>
          <w:highlight w:val="none"/>
        </w:rPr>
        <w:t xml:space="preserve"> 若有 </w:t>
      </w:r>
      <w:r>
        <w:rPr>
          <w:rFonts w:hint="eastAsia" w:ascii="宋体" w:hAnsi="宋体" w:eastAsia="宋体"/>
          <w:bCs w:val="0"/>
          <w:color w:val="auto"/>
          <w:sz w:val="21"/>
          <w:szCs w:val="22"/>
          <w:highlight w:val="none"/>
          <w:lang w:eastAsia="zh-CN"/>
        </w:rPr>
        <w:t>）</w:t>
      </w:r>
    </w:p>
    <w:p w14:paraId="64023E1F">
      <w:pPr>
        <w:spacing w:line="360" w:lineRule="auto"/>
        <w:rPr>
          <w:rFonts w:hint="eastAsia" w:ascii="宋体" w:hAnsi="宋体" w:eastAsia="宋体"/>
          <w:bCs w:val="0"/>
          <w:color w:val="auto"/>
          <w:sz w:val="21"/>
          <w:szCs w:val="22"/>
          <w:highlight w:val="none"/>
          <w:lang w:eastAsia="zh-CN"/>
        </w:rPr>
      </w:pPr>
      <w:r>
        <w:rPr>
          <w:rFonts w:hint="eastAsia" w:ascii="宋体" w:hAnsi="宋体" w:eastAsia="宋体"/>
          <w:bCs w:val="0"/>
          <w:color w:val="auto"/>
          <w:sz w:val="21"/>
          <w:szCs w:val="22"/>
          <w:highlight w:val="none"/>
        </w:rPr>
        <w:t>主要专业技术能力有：</w:t>
      </w:r>
      <w:r>
        <w:rPr>
          <w:rFonts w:hint="eastAsia" w:ascii="宋体" w:hAnsi="宋体" w:eastAsia="宋体"/>
          <w:bCs w:val="0"/>
          <w:color w:val="auto"/>
          <w:sz w:val="21"/>
          <w:szCs w:val="22"/>
          <w:highlight w:val="none"/>
          <w:u w:val="single"/>
        </w:rPr>
        <w:t xml:space="preserve">                 </w:t>
      </w:r>
      <w:r>
        <w:rPr>
          <w:rFonts w:hint="eastAsia" w:ascii="宋体" w:hAnsi="宋体" w:eastAsia="宋体"/>
          <w:bCs w:val="0"/>
          <w:color w:val="auto"/>
          <w:sz w:val="21"/>
          <w:szCs w:val="22"/>
          <w:highlight w:val="none"/>
        </w:rPr>
        <w:t>。</w:t>
      </w:r>
      <w:r>
        <w:rPr>
          <w:rFonts w:hint="eastAsia" w:ascii="宋体" w:hAnsi="宋体" w:eastAsia="宋体"/>
          <w:bCs w:val="0"/>
          <w:color w:val="auto"/>
          <w:sz w:val="21"/>
          <w:szCs w:val="22"/>
          <w:highlight w:val="none"/>
          <w:lang w:eastAsia="zh-CN"/>
        </w:rPr>
        <w:t>（</w:t>
      </w:r>
      <w:r>
        <w:rPr>
          <w:rFonts w:hint="eastAsia" w:ascii="宋体" w:hAnsi="宋体" w:eastAsia="宋体"/>
          <w:bCs w:val="0"/>
          <w:color w:val="auto"/>
          <w:sz w:val="21"/>
          <w:szCs w:val="22"/>
          <w:highlight w:val="none"/>
        </w:rPr>
        <w:t xml:space="preserve"> 若有 </w:t>
      </w:r>
      <w:r>
        <w:rPr>
          <w:rFonts w:hint="eastAsia" w:ascii="宋体" w:hAnsi="宋体" w:eastAsia="宋体"/>
          <w:bCs w:val="0"/>
          <w:color w:val="auto"/>
          <w:sz w:val="21"/>
          <w:szCs w:val="22"/>
          <w:highlight w:val="none"/>
          <w:lang w:eastAsia="zh-CN"/>
        </w:rPr>
        <w:t>）</w:t>
      </w:r>
    </w:p>
    <w:p w14:paraId="768898E1">
      <w:pPr>
        <w:spacing w:line="360" w:lineRule="auto"/>
        <w:rPr>
          <w:rFonts w:hint="eastAsia" w:ascii="宋体" w:hAnsi="宋体" w:eastAsia="宋体"/>
          <w:bCs w:val="0"/>
          <w:color w:val="auto"/>
          <w:sz w:val="21"/>
          <w:szCs w:val="22"/>
          <w:highlight w:val="none"/>
        </w:rPr>
      </w:pPr>
      <w:r>
        <w:rPr>
          <w:rFonts w:hint="eastAsia" w:ascii="宋体" w:hAnsi="宋体" w:eastAsia="宋体"/>
          <w:bCs w:val="0"/>
          <w:color w:val="auto"/>
          <w:sz w:val="21"/>
          <w:szCs w:val="22"/>
          <w:highlight w:val="none"/>
        </w:rPr>
        <w:t xml:space="preserve">                                      </w:t>
      </w:r>
    </w:p>
    <w:p w14:paraId="7240B7B0">
      <w:pPr>
        <w:spacing w:line="360" w:lineRule="auto"/>
        <w:rPr>
          <w:rFonts w:hint="eastAsia" w:ascii="宋体" w:hAnsi="宋体" w:eastAsia="宋体"/>
          <w:bCs w:val="0"/>
          <w:color w:val="auto"/>
          <w:sz w:val="21"/>
          <w:szCs w:val="22"/>
          <w:highlight w:val="none"/>
        </w:rPr>
      </w:pPr>
    </w:p>
    <w:p w14:paraId="11F3E6B8">
      <w:pPr>
        <w:spacing w:line="360" w:lineRule="auto"/>
        <w:rPr>
          <w:rFonts w:hint="eastAsia" w:ascii="宋体" w:hAnsi="宋体" w:eastAsia="宋体"/>
          <w:bCs w:val="0"/>
          <w:color w:val="auto"/>
          <w:sz w:val="21"/>
          <w:szCs w:val="22"/>
          <w:highlight w:val="none"/>
        </w:rPr>
      </w:pPr>
      <w:r>
        <w:rPr>
          <w:rFonts w:hint="eastAsia" w:ascii="宋体" w:hAnsi="宋体" w:eastAsia="宋体"/>
          <w:bCs w:val="0"/>
          <w:color w:val="auto"/>
          <w:sz w:val="21"/>
          <w:szCs w:val="22"/>
          <w:highlight w:val="none"/>
        </w:rPr>
        <w:t xml:space="preserve">                                           声明人：（公章）</w:t>
      </w:r>
    </w:p>
    <w:p w14:paraId="0A171433">
      <w:pPr>
        <w:spacing w:line="360" w:lineRule="auto"/>
        <w:rPr>
          <w:rFonts w:hint="eastAsia" w:ascii="宋体" w:hAnsi="宋体" w:eastAsia="宋体"/>
          <w:bCs w:val="0"/>
          <w:color w:val="auto"/>
          <w:sz w:val="21"/>
          <w:szCs w:val="22"/>
          <w:highlight w:val="none"/>
        </w:rPr>
      </w:pPr>
      <w:r>
        <w:rPr>
          <w:rFonts w:hint="eastAsia" w:ascii="宋体" w:hAnsi="宋体" w:eastAsia="宋体"/>
          <w:bCs w:val="0"/>
          <w:color w:val="auto"/>
          <w:sz w:val="21"/>
          <w:szCs w:val="22"/>
          <w:highlight w:val="none"/>
        </w:rPr>
        <w:t xml:space="preserve">                                     </w:t>
      </w:r>
      <w:r>
        <w:rPr>
          <w:rFonts w:hint="eastAsia" w:ascii="宋体" w:hAnsi="宋体" w:eastAsia="宋体"/>
          <w:bCs w:val="0"/>
          <w:color w:val="auto"/>
          <w:sz w:val="21"/>
          <w:szCs w:val="22"/>
          <w:highlight w:val="none"/>
          <w:lang w:val="en-US" w:eastAsia="zh-CN"/>
        </w:rPr>
        <w:t xml:space="preserve">     </w:t>
      </w:r>
      <w:r>
        <w:rPr>
          <w:rFonts w:hint="eastAsia" w:ascii="宋体" w:hAnsi="宋体" w:eastAsia="宋体"/>
          <w:bCs w:val="0"/>
          <w:color w:val="auto"/>
          <w:sz w:val="21"/>
          <w:szCs w:val="22"/>
          <w:highlight w:val="none"/>
        </w:rPr>
        <w:t>日期：____ 年</w:t>
      </w:r>
      <w:r>
        <w:rPr>
          <w:rFonts w:hint="eastAsia" w:ascii="宋体" w:hAnsi="宋体" w:eastAsia="宋体"/>
          <w:bCs w:val="0"/>
          <w:color w:val="auto"/>
          <w:sz w:val="21"/>
          <w:szCs w:val="22"/>
          <w:highlight w:val="none"/>
          <w:u w:val="single"/>
        </w:rPr>
        <w:t xml:space="preserve">    </w:t>
      </w:r>
      <w:r>
        <w:rPr>
          <w:rFonts w:hint="eastAsia" w:ascii="宋体" w:hAnsi="宋体" w:eastAsia="宋体"/>
          <w:bCs w:val="0"/>
          <w:color w:val="auto"/>
          <w:sz w:val="21"/>
          <w:szCs w:val="22"/>
          <w:highlight w:val="none"/>
        </w:rPr>
        <w:t>月</w:t>
      </w:r>
      <w:r>
        <w:rPr>
          <w:rFonts w:hint="eastAsia" w:ascii="宋体" w:hAnsi="宋体" w:eastAsia="宋体"/>
          <w:bCs w:val="0"/>
          <w:color w:val="auto"/>
          <w:sz w:val="21"/>
          <w:szCs w:val="22"/>
          <w:highlight w:val="none"/>
          <w:u w:val="single"/>
        </w:rPr>
        <w:t xml:space="preserve">    </w:t>
      </w:r>
      <w:r>
        <w:rPr>
          <w:rFonts w:hint="eastAsia" w:ascii="宋体" w:hAnsi="宋体" w:eastAsia="宋体"/>
          <w:bCs w:val="0"/>
          <w:color w:val="auto"/>
          <w:sz w:val="21"/>
          <w:szCs w:val="22"/>
          <w:highlight w:val="none"/>
        </w:rPr>
        <w:t>日</w:t>
      </w:r>
    </w:p>
    <w:p w14:paraId="4DE7C898">
      <w:pPr>
        <w:spacing w:line="360" w:lineRule="auto"/>
        <w:rPr>
          <w:rFonts w:hint="eastAsia" w:ascii="宋体" w:hAnsi="宋体" w:eastAsia="宋体"/>
          <w:bCs w:val="0"/>
          <w:color w:val="auto"/>
          <w:sz w:val="21"/>
          <w:szCs w:val="22"/>
          <w:highlight w:val="none"/>
        </w:rPr>
      </w:pPr>
    </w:p>
    <w:p w14:paraId="49B645F1">
      <w:pPr>
        <w:spacing w:line="360" w:lineRule="auto"/>
        <w:rPr>
          <w:rFonts w:hint="eastAsia" w:ascii="宋体" w:hAnsi="宋体" w:eastAsia="宋体"/>
          <w:bCs w:val="0"/>
          <w:color w:val="auto"/>
          <w:sz w:val="21"/>
          <w:szCs w:val="22"/>
          <w:highlight w:val="none"/>
        </w:rPr>
      </w:pPr>
    </w:p>
    <w:p w14:paraId="3E54DFD3">
      <w:pPr>
        <w:spacing w:line="360" w:lineRule="auto"/>
        <w:rPr>
          <w:rFonts w:hint="eastAsia" w:ascii="宋体" w:hAnsi="宋体" w:eastAsia="宋体"/>
          <w:bCs w:val="0"/>
          <w:color w:val="auto"/>
          <w:sz w:val="21"/>
          <w:szCs w:val="22"/>
          <w:highlight w:val="none"/>
        </w:rPr>
      </w:pPr>
    </w:p>
    <w:p w14:paraId="00160FC9">
      <w:pPr>
        <w:spacing w:line="360" w:lineRule="auto"/>
        <w:rPr>
          <w:rFonts w:hint="eastAsia" w:ascii="宋体" w:hAnsi="宋体" w:eastAsia="宋体"/>
          <w:bCs w:val="0"/>
          <w:color w:val="auto"/>
          <w:sz w:val="21"/>
          <w:szCs w:val="22"/>
          <w:highlight w:val="none"/>
        </w:rPr>
      </w:pPr>
      <w:r>
        <w:rPr>
          <w:rFonts w:hint="eastAsia" w:ascii="宋体" w:hAnsi="宋体" w:eastAsia="宋体"/>
          <w:bCs w:val="0"/>
          <w:color w:val="auto"/>
          <w:sz w:val="21"/>
          <w:szCs w:val="22"/>
          <w:highlight w:val="none"/>
        </w:rPr>
        <w:t>其他证明材料及文件：（如果供应商认为需要提供的话）</w:t>
      </w:r>
    </w:p>
    <w:p w14:paraId="3D63AE46">
      <w:pPr>
        <w:pStyle w:val="15"/>
        <w:rPr>
          <w:rFonts w:hint="eastAsia" w:ascii="宋体" w:hAnsi="宋体" w:eastAsia="宋体"/>
          <w:bCs w:val="0"/>
          <w:color w:val="auto"/>
          <w:sz w:val="21"/>
          <w:szCs w:val="22"/>
          <w:highlight w:val="none"/>
        </w:rPr>
      </w:pPr>
    </w:p>
    <w:p w14:paraId="2F4C8566">
      <w:pPr>
        <w:pStyle w:val="15"/>
        <w:rPr>
          <w:rFonts w:hint="eastAsia" w:ascii="宋体" w:hAnsi="宋体" w:eastAsia="宋体"/>
          <w:bCs w:val="0"/>
          <w:color w:val="auto"/>
          <w:sz w:val="21"/>
          <w:szCs w:val="22"/>
          <w:highlight w:val="none"/>
        </w:rPr>
      </w:pPr>
    </w:p>
    <w:p w14:paraId="4AC2323D">
      <w:pPr>
        <w:pStyle w:val="15"/>
        <w:rPr>
          <w:rFonts w:hint="eastAsia" w:ascii="宋体" w:hAnsi="宋体" w:eastAsia="宋体"/>
          <w:bCs w:val="0"/>
          <w:color w:val="auto"/>
          <w:sz w:val="21"/>
          <w:szCs w:val="22"/>
          <w:highlight w:val="none"/>
        </w:rPr>
      </w:pPr>
    </w:p>
    <w:p w14:paraId="3064EF28">
      <w:pPr>
        <w:pStyle w:val="15"/>
        <w:rPr>
          <w:rFonts w:hint="eastAsia" w:ascii="宋体" w:hAnsi="宋体" w:eastAsia="宋体"/>
          <w:bCs w:val="0"/>
          <w:color w:val="auto"/>
          <w:sz w:val="21"/>
          <w:szCs w:val="22"/>
          <w:highlight w:val="none"/>
        </w:rPr>
      </w:pPr>
    </w:p>
    <w:p w14:paraId="7BCF2F6F">
      <w:pPr>
        <w:pStyle w:val="15"/>
        <w:rPr>
          <w:rFonts w:hint="eastAsia" w:ascii="宋体" w:hAnsi="宋体" w:eastAsia="宋体"/>
          <w:bCs w:val="0"/>
          <w:color w:val="auto"/>
          <w:sz w:val="21"/>
          <w:szCs w:val="22"/>
          <w:highlight w:val="none"/>
        </w:rPr>
      </w:pPr>
    </w:p>
    <w:p w14:paraId="6C53D52C">
      <w:pPr>
        <w:pStyle w:val="15"/>
        <w:rPr>
          <w:rFonts w:hint="eastAsia" w:ascii="宋体" w:hAnsi="宋体" w:eastAsia="宋体"/>
          <w:bCs w:val="0"/>
          <w:color w:val="auto"/>
          <w:sz w:val="21"/>
          <w:szCs w:val="22"/>
          <w:highlight w:val="none"/>
        </w:rPr>
      </w:pPr>
    </w:p>
    <w:p w14:paraId="1E478C07">
      <w:pPr>
        <w:pStyle w:val="15"/>
        <w:rPr>
          <w:rFonts w:hint="eastAsia" w:ascii="宋体" w:hAnsi="宋体" w:eastAsia="宋体"/>
          <w:bCs w:val="0"/>
          <w:color w:val="auto"/>
          <w:sz w:val="21"/>
          <w:szCs w:val="22"/>
          <w:highlight w:val="none"/>
        </w:rPr>
      </w:pPr>
    </w:p>
    <w:p w14:paraId="0D93C20B">
      <w:pPr>
        <w:pStyle w:val="15"/>
        <w:rPr>
          <w:rFonts w:hint="eastAsia" w:ascii="宋体" w:hAnsi="宋体" w:eastAsia="宋体"/>
          <w:bCs w:val="0"/>
          <w:color w:val="auto"/>
          <w:sz w:val="21"/>
          <w:szCs w:val="22"/>
          <w:highlight w:val="none"/>
        </w:rPr>
      </w:pPr>
    </w:p>
    <w:p w14:paraId="62E5EF48">
      <w:pPr>
        <w:pStyle w:val="15"/>
        <w:rPr>
          <w:rFonts w:hint="eastAsia" w:ascii="宋体" w:hAnsi="宋体" w:eastAsia="宋体"/>
          <w:bCs w:val="0"/>
          <w:color w:val="auto"/>
          <w:sz w:val="21"/>
          <w:szCs w:val="22"/>
          <w:highlight w:val="none"/>
        </w:rPr>
      </w:pPr>
    </w:p>
    <w:p w14:paraId="54DD9795">
      <w:pPr>
        <w:pStyle w:val="15"/>
        <w:rPr>
          <w:rFonts w:hint="eastAsia" w:ascii="宋体" w:hAnsi="宋体" w:eastAsia="宋体"/>
          <w:bCs w:val="0"/>
          <w:color w:val="auto"/>
          <w:sz w:val="21"/>
          <w:szCs w:val="22"/>
          <w:highlight w:val="none"/>
        </w:rPr>
      </w:pPr>
    </w:p>
    <w:p w14:paraId="52EF77F5">
      <w:pPr>
        <w:pStyle w:val="15"/>
        <w:rPr>
          <w:rFonts w:hint="eastAsia" w:ascii="宋体" w:hAnsi="宋体" w:eastAsia="宋体"/>
          <w:bCs w:val="0"/>
          <w:color w:val="auto"/>
          <w:sz w:val="21"/>
          <w:szCs w:val="22"/>
          <w:highlight w:val="none"/>
        </w:rPr>
      </w:pPr>
    </w:p>
    <w:p w14:paraId="3B43D4E6">
      <w:pPr>
        <w:pStyle w:val="15"/>
        <w:rPr>
          <w:rFonts w:hint="eastAsia" w:ascii="宋体" w:hAnsi="宋体" w:eastAsia="宋体"/>
          <w:bCs w:val="0"/>
          <w:color w:val="auto"/>
          <w:sz w:val="21"/>
          <w:szCs w:val="22"/>
          <w:highlight w:val="none"/>
        </w:rPr>
      </w:pPr>
    </w:p>
    <w:p w14:paraId="31F2C91D">
      <w:pPr>
        <w:pStyle w:val="15"/>
        <w:rPr>
          <w:rFonts w:hint="eastAsia" w:ascii="宋体" w:hAnsi="宋体" w:eastAsia="宋体"/>
          <w:bCs w:val="0"/>
          <w:color w:val="auto"/>
          <w:sz w:val="21"/>
          <w:szCs w:val="22"/>
          <w:highlight w:val="none"/>
        </w:rPr>
      </w:pPr>
    </w:p>
    <w:p w14:paraId="3EAD7710">
      <w:pPr>
        <w:pStyle w:val="15"/>
        <w:rPr>
          <w:rFonts w:hint="eastAsia" w:ascii="宋体" w:hAnsi="宋体" w:eastAsia="宋体"/>
          <w:bCs w:val="0"/>
          <w:color w:val="auto"/>
          <w:sz w:val="21"/>
          <w:szCs w:val="22"/>
          <w:highlight w:val="none"/>
        </w:rPr>
      </w:pPr>
    </w:p>
    <w:p w14:paraId="2060988E">
      <w:pPr>
        <w:pStyle w:val="15"/>
        <w:rPr>
          <w:rFonts w:hint="eastAsia" w:ascii="宋体" w:hAnsi="宋体" w:eastAsia="宋体"/>
          <w:bCs w:val="0"/>
          <w:color w:val="auto"/>
          <w:sz w:val="21"/>
          <w:szCs w:val="22"/>
          <w:highlight w:val="none"/>
        </w:rPr>
      </w:pPr>
    </w:p>
    <w:p w14:paraId="653BBC10">
      <w:pPr>
        <w:pStyle w:val="15"/>
        <w:rPr>
          <w:rFonts w:hint="eastAsia" w:ascii="宋体" w:hAnsi="宋体" w:eastAsia="宋体"/>
          <w:bCs w:val="0"/>
          <w:color w:val="auto"/>
          <w:sz w:val="21"/>
          <w:szCs w:val="22"/>
          <w:highlight w:val="none"/>
        </w:rPr>
      </w:pPr>
    </w:p>
    <w:p w14:paraId="772B17A0">
      <w:pPr>
        <w:pStyle w:val="15"/>
        <w:rPr>
          <w:rFonts w:hint="eastAsia" w:ascii="宋体" w:hAnsi="宋体" w:eastAsia="宋体"/>
          <w:bCs w:val="0"/>
          <w:color w:val="auto"/>
          <w:sz w:val="21"/>
          <w:szCs w:val="22"/>
          <w:highlight w:val="none"/>
        </w:rPr>
      </w:pPr>
    </w:p>
    <w:p w14:paraId="1875C6B5">
      <w:pPr>
        <w:pStyle w:val="15"/>
        <w:rPr>
          <w:rFonts w:hint="eastAsia" w:ascii="宋体" w:hAnsi="宋体" w:eastAsia="宋体"/>
          <w:bCs w:val="0"/>
          <w:color w:val="auto"/>
          <w:sz w:val="21"/>
          <w:szCs w:val="22"/>
          <w:highlight w:val="none"/>
        </w:rPr>
      </w:pPr>
    </w:p>
    <w:p w14:paraId="537D0B2D">
      <w:pPr>
        <w:pStyle w:val="15"/>
        <w:rPr>
          <w:rFonts w:hint="eastAsia" w:ascii="宋体" w:hAnsi="宋体" w:eastAsia="宋体"/>
          <w:bCs w:val="0"/>
          <w:color w:val="auto"/>
          <w:sz w:val="21"/>
          <w:szCs w:val="22"/>
          <w:highlight w:val="none"/>
        </w:rPr>
      </w:pPr>
    </w:p>
    <w:p w14:paraId="2377AA1A">
      <w:pPr>
        <w:pStyle w:val="15"/>
        <w:rPr>
          <w:rFonts w:hint="eastAsia" w:ascii="宋体" w:hAnsi="宋体" w:eastAsia="宋体"/>
          <w:bCs w:val="0"/>
          <w:color w:val="auto"/>
          <w:sz w:val="21"/>
          <w:szCs w:val="22"/>
          <w:highlight w:val="none"/>
        </w:rPr>
      </w:pPr>
    </w:p>
    <w:p w14:paraId="73C484C1">
      <w:pPr>
        <w:spacing w:line="101" w:lineRule="exact"/>
      </w:pPr>
    </w:p>
    <w:p w14:paraId="75546ABE">
      <w:pPr>
        <w:jc w:val="center"/>
        <w:outlineLvl w:val="2"/>
        <w:rPr>
          <w:rFonts w:ascii="Times New Roman" w:hAnsi="Times New Roman" w:eastAsia="宋体" w:cs="Times New Roman"/>
          <w:sz w:val="28"/>
          <w:szCs w:val="28"/>
        </w:rPr>
      </w:pPr>
      <w:bookmarkStart w:id="120" w:name="_Toc5157"/>
      <w:r>
        <w:rPr>
          <w:rFonts w:hint="eastAsia" w:ascii="Times New Roman" w:hAnsi="Times New Roman" w:eastAsia="宋体" w:cs="Times New Roman"/>
          <w:sz w:val="28"/>
          <w:szCs w:val="28"/>
        </w:rPr>
        <w:t>（五）</w:t>
      </w:r>
      <w:r>
        <w:rPr>
          <w:rFonts w:ascii="Times New Roman" w:hAnsi="Times New Roman" w:eastAsia="宋体" w:cs="Times New Roman"/>
          <w:sz w:val="28"/>
          <w:szCs w:val="28"/>
        </w:rPr>
        <w:t>依法缴纳税收和社会保障资金的良好记录</w:t>
      </w:r>
      <w:bookmarkEnd w:id="120"/>
    </w:p>
    <w:p w14:paraId="57E9966A">
      <w:pPr>
        <w:jc w:val="center"/>
        <w:outlineLvl w:val="2"/>
        <w:rPr>
          <w:rFonts w:ascii="Times New Roman" w:hAnsi="Times New Roman" w:eastAsia="宋体" w:cs="Times New Roman"/>
          <w:sz w:val="28"/>
          <w:szCs w:val="28"/>
        </w:rPr>
      </w:pPr>
      <w:r>
        <w:rPr>
          <w:rFonts w:ascii="Times New Roman" w:hAnsi="Times New Roman" w:eastAsia="宋体" w:cs="Times New Roman"/>
          <w:sz w:val="28"/>
          <w:szCs w:val="28"/>
        </w:rPr>
        <w:br w:type="page"/>
      </w:r>
    </w:p>
    <w:p w14:paraId="7D3568AB">
      <w:pPr>
        <w:jc w:val="center"/>
        <w:outlineLvl w:val="2"/>
        <w:rPr>
          <w:rFonts w:ascii="Times New Roman" w:hAnsi="Times New Roman" w:eastAsia="宋体" w:cs="Times New Roman"/>
          <w:sz w:val="28"/>
          <w:szCs w:val="28"/>
        </w:rPr>
      </w:pPr>
      <w:bookmarkStart w:id="121" w:name="_Toc10205"/>
      <w:r>
        <w:rPr>
          <w:rFonts w:hint="eastAsia" w:ascii="Times New Roman" w:hAnsi="Times New Roman" w:eastAsia="宋体" w:cs="Times New Roman"/>
          <w:sz w:val="28"/>
          <w:szCs w:val="28"/>
        </w:rPr>
        <w:t>（六）法律、行政法规规定的其他条件</w:t>
      </w:r>
      <w:bookmarkEnd w:id="121"/>
    </w:p>
    <w:p w14:paraId="04FD56A5">
      <w:pPr>
        <w:jc w:val="center"/>
        <w:outlineLvl w:val="2"/>
        <w:rPr>
          <w:rFonts w:ascii="Times New Roman" w:hAnsi="Times New Roman" w:eastAsia="宋体" w:cs="Times New Roman"/>
          <w:sz w:val="28"/>
          <w:szCs w:val="28"/>
        </w:rPr>
      </w:pPr>
    </w:p>
    <w:p w14:paraId="7916B025">
      <w:pPr>
        <w:jc w:val="center"/>
        <w:outlineLvl w:val="2"/>
        <w:rPr>
          <w:rFonts w:ascii="Times New Roman" w:hAnsi="Times New Roman" w:eastAsia="宋体" w:cs="Times New Roman"/>
          <w:sz w:val="28"/>
          <w:szCs w:val="28"/>
        </w:rPr>
      </w:pPr>
    </w:p>
    <w:p w14:paraId="767080E3">
      <w:pPr>
        <w:jc w:val="center"/>
        <w:outlineLvl w:val="2"/>
        <w:rPr>
          <w:rFonts w:ascii="Times New Roman" w:hAnsi="Times New Roman" w:eastAsia="宋体" w:cs="Times New Roman"/>
          <w:sz w:val="28"/>
          <w:szCs w:val="28"/>
        </w:rPr>
      </w:pPr>
    </w:p>
    <w:p w14:paraId="550D71A2">
      <w:pPr>
        <w:jc w:val="center"/>
        <w:outlineLvl w:val="2"/>
        <w:rPr>
          <w:rFonts w:ascii="Times New Roman" w:hAnsi="Times New Roman" w:eastAsia="宋体" w:cs="Times New Roman"/>
          <w:sz w:val="28"/>
          <w:szCs w:val="28"/>
        </w:rPr>
      </w:pPr>
    </w:p>
    <w:p w14:paraId="7FCD46B7">
      <w:pPr>
        <w:jc w:val="center"/>
        <w:outlineLvl w:val="2"/>
        <w:rPr>
          <w:rFonts w:ascii="Times New Roman" w:hAnsi="Times New Roman" w:eastAsia="宋体" w:cs="Times New Roman"/>
          <w:sz w:val="28"/>
          <w:szCs w:val="28"/>
        </w:rPr>
      </w:pPr>
    </w:p>
    <w:p w14:paraId="011EC5C8">
      <w:pPr>
        <w:jc w:val="center"/>
        <w:outlineLvl w:val="2"/>
        <w:rPr>
          <w:rFonts w:ascii="Times New Roman" w:hAnsi="Times New Roman" w:eastAsia="宋体" w:cs="Times New Roman"/>
          <w:sz w:val="28"/>
          <w:szCs w:val="28"/>
        </w:rPr>
      </w:pPr>
    </w:p>
    <w:p w14:paraId="14964155">
      <w:pPr>
        <w:jc w:val="center"/>
        <w:outlineLvl w:val="2"/>
        <w:rPr>
          <w:rFonts w:ascii="Times New Roman" w:hAnsi="Times New Roman" w:eastAsia="宋体" w:cs="Times New Roman"/>
          <w:sz w:val="28"/>
          <w:szCs w:val="28"/>
        </w:rPr>
      </w:pPr>
    </w:p>
    <w:p w14:paraId="63550BC8">
      <w:pPr>
        <w:jc w:val="center"/>
        <w:outlineLvl w:val="2"/>
        <w:rPr>
          <w:rFonts w:ascii="Times New Roman" w:hAnsi="Times New Roman" w:eastAsia="宋体" w:cs="Times New Roman"/>
          <w:sz w:val="28"/>
          <w:szCs w:val="28"/>
        </w:rPr>
      </w:pPr>
    </w:p>
    <w:p w14:paraId="50B1DBF2">
      <w:pPr>
        <w:jc w:val="center"/>
        <w:outlineLvl w:val="2"/>
        <w:rPr>
          <w:rFonts w:ascii="Times New Roman" w:hAnsi="Times New Roman" w:eastAsia="宋体" w:cs="Times New Roman"/>
          <w:sz w:val="28"/>
          <w:szCs w:val="28"/>
        </w:rPr>
      </w:pPr>
    </w:p>
    <w:p w14:paraId="524FC4CE">
      <w:pPr>
        <w:jc w:val="center"/>
        <w:outlineLvl w:val="2"/>
        <w:rPr>
          <w:rFonts w:ascii="Times New Roman" w:hAnsi="Times New Roman" w:eastAsia="宋体" w:cs="Times New Roman"/>
          <w:sz w:val="28"/>
          <w:szCs w:val="28"/>
        </w:rPr>
      </w:pPr>
    </w:p>
    <w:p w14:paraId="593DF045">
      <w:pPr>
        <w:jc w:val="center"/>
        <w:outlineLvl w:val="2"/>
        <w:rPr>
          <w:rFonts w:ascii="Times New Roman" w:hAnsi="Times New Roman" w:eastAsia="宋体" w:cs="Times New Roman"/>
          <w:sz w:val="28"/>
          <w:szCs w:val="28"/>
        </w:rPr>
      </w:pPr>
    </w:p>
    <w:p w14:paraId="38377450">
      <w:pPr>
        <w:jc w:val="center"/>
        <w:outlineLvl w:val="2"/>
        <w:rPr>
          <w:rFonts w:ascii="Times New Roman" w:hAnsi="Times New Roman" w:eastAsia="宋体" w:cs="Times New Roman"/>
          <w:sz w:val="28"/>
          <w:szCs w:val="28"/>
        </w:rPr>
      </w:pPr>
    </w:p>
    <w:p w14:paraId="4275F475">
      <w:pPr>
        <w:jc w:val="center"/>
        <w:outlineLvl w:val="2"/>
        <w:rPr>
          <w:rFonts w:ascii="Times New Roman" w:hAnsi="Times New Roman" w:eastAsia="宋体" w:cs="Times New Roman"/>
          <w:sz w:val="28"/>
          <w:szCs w:val="28"/>
        </w:rPr>
      </w:pPr>
    </w:p>
    <w:p w14:paraId="42300CB6">
      <w:pPr>
        <w:jc w:val="center"/>
        <w:outlineLvl w:val="2"/>
        <w:rPr>
          <w:rFonts w:ascii="Times New Roman" w:hAnsi="Times New Roman" w:eastAsia="宋体" w:cs="Times New Roman"/>
          <w:sz w:val="28"/>
          <w:szCs w:val="28"/>
        </w:rPr>
      </w:pPr>
    </w:p>
    <w:p w14:paraId="486484A6">
      <w:pPr>
        <w:jc w:val="center"/>
        <w:outlineLvl w:val="2"/>
        <w:rPr>
          <w:rFonts w:ascii="Times New Roman" w:hAnsi="Times New Roman" w:eastAsia="宋体" w:cs="Times New Roman"/>
          <w:sz w:val="28"/>
          <w:szCs w:val="28"/>
        </w:rPr>
      </w:pPr>
    </w:p>
    <w:p w14:paraId="5341A8AC">
      <w:pPr>
        <w:jc w:val="center"/>
        <w:outlineLvl w:val="2"/>
        <w:rPr>
          <w:rFonts w:ascii="Times New Roman" w:hAnsi="Times New Roman" w:eastAsia="宋体" w:cs="Times New Roman"/>
          <w:sz w:val="28"/>
          <w:szCs w:val="28"/>
        </w:rPr>
      </w:pPr>
    </w:p>
    <w:p w14:paraId="18F0BC8F">
      <w:pPr>
        <w:jc w:val="center"/>
        <w:outlineLvl w:val="2"/>
        <w:rPr>
          <w:rFonts w:ascii="Times New Roman" w:hAnsi="Times New Roman" w:eastAsia="宋体" w:cs="Times New Roman"/>
          <w:sz w:val="28"/>
          <w:szCs w:val="28"/>
        </w:rPr>
      </w:pPr>
    </w:p>
    <w:p w14:paraId="314B2431">
      <w:pPr>
        <w:pStyle w:val="10"/>
      </w:pPr>
    </w:p>
    <w:p w14:paraId="2AB849C3">
      <w:pPr>
        <w:pStyle w:val="10"/>
      </w:pPr>
    </w:p>
    <w:p w14:paraId="7AF28F22">
      <w:pPr>
        <w:pStyle w:val="10"/>
      </w:pPr>
    </w:p>
    <w:p w14:paraId="466A0EA0">
      <w:pPr>
        <w:pStyle w:val="10"/>
      </w:pPr>
    </w:p>
    <w:p w14:paraId="6DBFF2F4">
      <w:pPr>
        <w:pStyle w:val="10"/>
      </w:pPr>
    </w:p>
    <w:p w14:paraId="77D86AE1">
      <w:pPr>
        <w:pStyle w:val="10"/>
      </w:pPr>
    </w:p>
    <w:p w14:paraId="44893DD6">
      <w:pPr>
        <w:pStyle w:val="10"/>
      </w:pPr>
    </w:p>
    <w:p w14:paraId="60161D92">
      <w:pPr>
        <w:pStyle w:val="10"/>
      </w:pPr>
    </w:p>
    <w:p w14:paraId="667E66E7">
      <w:pPr>
        <w:jc w:val="center"/>
        <w:outlineLvl w:val="2"/>
        <w:rPr>
          <w:rFonts w:ascii="Times New Roman" w:hAnsi="Times New Roman" w:eastAsia="宋体" w:cs="Times New Roman"/>
          <w:sz w:val="28"/>
          <w:szCs w:val="28"/>
        </w:rPr>
      </w:pPr>
    </w:p>
    <w:p w14:paraId="0AD0F3F6">
      <w:pPr>
        <w:jc w:val="center"/>
        <w:outlineLvl w:val="2"/>
        <w:rPr>
          <w:rFonts w:ascii="Times New Roman" w:hAnsi="Times New Roman" w:eastAsia="宋体" w:cs="Times New Roman"/>
          <w:sz w:val="28"/>
          <w:szCs w:val="28"/>
        </w:rPr>
      </w:pPr>
      <w:bookmarkStart w:id="122" w:name="_Toc7452"/>
      <w:r>
        <w:rPr>
          <w:rFonts w:hint="eastAsia" w:ascii="Times New Roman" w:hAnsi="Times New Roman" w:eastAsia="宋体" w:cs="Times New Roman"/>
          <w:sz w:val="28"/>
          <w:szCs w:val="28"/>
        </w:rPr>
        <w:t>（七）落实政府采购政策需满足的资格要求</w:t>
      </w:r>
      <w:bookmarkEnd w:id="122"/>
    </w:p>
    <w:p w14:paraId="0D2BD6B9">
      <w:pPr>
        <w:jc w:val="center"/>
        <w:outlineLvl w:val="2"/>
        <w:rPr>
          <w:rFonts w:ascii="Times New Roman" w:hAnsi="Times New Roman" w:eastAsia="宋体" w:cs="Times New Roman"/>
          <w:sz w:val="28"/>
          <w:szCs w:val="28"/>
        </w:rPr>
      </w:pPr>
    </w:p>
    <w:p w14:paraId="167A1847">
      <w:pPr>
        <w:jc w:val="center"/>
        <w:outlineLvl w:val="2"/>
        <w:rPr>
          <w:rFonts w:ascii="Times New Roman" w:hAnsi="Times New Roman" w:eastAsia="宋体" w:cs="Times New Roman"/>
          <w:sz w:val="28"/>
          <w:szCs w:val="28"/>
        </w:rPr>
      </w:pPr>
    </w:p>
    <w:p w14:paraId="65020B12">
      <w:pPr>
        <w:jc w:val="center"/>
        <w:outlineLvl w:val="2"/>
        <w:rPr>
          <w:rFonts w:ascii="Times New Roman" w:hAnsi="Times New Roman" w:eastAsia="宋体" w:cs="Times New Roman"/>
          <w:sz w:val="28"/>
          <w:szCs w:val="28"/>
        </w:rPr>
      </w:pPr>
    </w:p>
    <w:p w14:paraId="1A6FA2FC">
      <w:pPr>
        <w:jc w:val="center"/>
        <w:outlineLvl w:val="2"/>
        <w:rPr>
          <w:rFonts w:ascii="Times New Roman" w:hAnsi="Times New Roman" w:eastAsia="宋体" w:cs="Times New Roman"/>
          <w:sz w:val="28"/>
          <w:szCs w:val="28"/>
        </w:rPr>
      </w:pPr>
    </w:p>
    <w:p w14:paraId="47CC512C">
      <w:pPr>
        <w:jc w:val="center"/>
        <w:outlineLvl w:val="2"/>
        <w:rPr>
          <w:rFonts w:ascii="Times New Roman" w:hAnsi="Times New Roman" w:eastAsia="宋体" w:cs="Times New Roman"/>
          <w:sz w:val="28"/>
          <w:szCs w:val="28"/>
        </w:rPr>
      </w:pPr>
    </w:p>
    <w:p w14:paraId="0452E499">
      <w:pPr>
        <w:jc w:val="center"/>
        <w:outlineLvl w:val="2"/>
        <w:rPr>
          <w:rFonts w:ascii="Times New Roman" w:hAnsi="Times New Roman" w:eastAsia="宋体" w:cs="Times New Roman"/>
          <w:sz w:val="28"/>
          <w:szCs w:val="28"/>
        </w:rPr>
      </w:pPr>
    </w:p>
    <w:p w14:paraId="7B186C5D">
      <w:pPr>
        <w:jc w:val="center"/>
        <w:outlineLvl w:val="2"/>
        <w:rPr>
          <w:rFonts w:ascii="Times New Roman" w:hAnsi="Times New Roman" w:eastAsia="宋体" w:cs="Times New Roman"/>
          <w:sz w:val="28"/>
          <w:szCs w:val="28"/>
        </w:rPr>
      </w:pPr>
    </w:p>
    <w:p w14:paraId="7302211F">
      <w:pPr>
        <w:jc w:val="center"/>
        <w:outlineLvl w:val="2"/>
        <w:rPr>
          <w:rFonts w:ascii="Times New Roman" w:hAnsi="Times New Roman" w:eastAsia="宋体" w:cs="Times New Roman"/>
          <w:sz w:val="28"/>
          <w:szCs w:val="28"/>
        </w:rPr>
      </w:pPr>
    </w:p>
    <w:p w14:paraId="33BD8D7C">
      <w:pPr>
        <w:jc w:val="center"/>
        <w:outlineLvl w:val="2"/>
        <w:rPr>
          <w:rFonts w:ascii="Times New Roman" w:hAnsi="Times New Roman" w:eastAsia="宋体" w:cs="Times New Roman"/>
          <w:sz w:val="28"/>
          <w:szCs w:val="28"/>
        </w:rPr>
      </w:pPr>
    </w:p>
    <w:p w14:paraId="09E9A531">
      <w:pPr>
        <w:jc w:val="center"/>
        <w:outlineLvl w:val="2"/>
        <w:rPr>
          <w:rFonts w:ascii="Times New Roman" w:hAnsi="Times New Roman" w:eastAsia="宋体" w:cs="Times New Roman"/>
          <w:sz w:val="28"/>
          <w:szCs w:val="28"/>
        </w:rPr>
      </w:pPr>
    </w:p>
    <w:p w14:paraId="637305CA">
      <w:pPr>
        <w:jc w:val="center"/>
        <w:outlineLvl w:val="2"/>
        <w:rPr>
          <w:rFonts w:ascii="Times New Roman" w:hAnsi="Times New Roman" w:eastAsia="宋体" w:cs="Times New Roman"/>
          <w:sz w:val="28"/>
          <w:szCs w:val="28"/>
        </w:rPr>
      </w:pPr>
    </w:p>
    <w:p w14:paraId="4EB2110A">
      <w:pPr>
        <w:jc w:val="center"/>
        <w:outlineLvl w:val="2"/>
        <w:rPr>
          <w:rFonts w:ascii="Times New Roman" w:hAnsi="Times New Roman" w:eastAsia="宋体" w:cs="Times New Roman"/>
          <w:sz w:val="28"/>
          <w:szCs w:val="28"/>
        </w:rPr>
      </w:pPr>
    </w:p>
    <w:p w14:paraId="204493BD">
      <w:pPr>
        <w:jc w:val="center"/>
        <w:outlineLvl w:val="2"/>
        <w:rPr>
          <w:rFonts w:ascii="Times New Roman" w:hAnsi="Times New Roman" w:eastAsia="宋体" w:cs="Times New Roman"/>
          <w:sz w:val="28"/>
          <w:szCs w:val="28"/>
        </w:rPr>
      </w:pPr>
    </w:p>
    <w:p w14:paraId="01E46ABE">
      <w:pPr>
        <w:jc w:val="center"/>
        <w:outlineLvl w:val="2"/>
        <w:rPr>
          <w:rFonts w:ascii="Times New Roman" w:hAnsi="Times New Roman" w:eastAsia="宋体" w:cs="Times New Roman"/>
          <w:sz w:val="28"/>
          <w:szCs w:val="28"/>
        </w:rPr>
      </w:pPr>
    </w:p>
    <w:p w14:paraId="32DFAD87">
      <w:pPr>
        <w:jc w:val="center"/>
        <w:outlineLvl w:val="2"/>
        <w:rPr>
          <w:rFonts w:ascii="Times New Roman" w:hAnsi="Times New Roman" w:eastAsia="宋体" w:cs="Times New Roman"/>
          <w:sz w:val="28"/>
          <w:szCs w:val="28"/>
        </w:rPr>
      </w:pPr>
    </w:p>
    <w:p w14:paraId="4A10D7DB">
      <w:pPr>
        <w:jc w:val="center"/>
        <w:outlineLvl w:val="2"/>
        <w:rPr>
          <w:rFonts w:ascii="Times New Roman" w:hAnsi="Times New Roman" w:eastAsia="宋体" w:cs="Times New Roman"/>
          <w:sz w:val="28"/>
          <w:szCs w:val="28"/>
        </w:rPr>
      </w:pPr>
    </w:p>
    <w:p w14:paraId="0335C5CD">
      <w:pPr>
        <w:jc w:val="center"/>
        <w:outlineLvl w:val="2"/>
        <w:rPr>
          <w:rFonts w:ascii="Times New Roman" w:hAnsi="Times New Roman" w:eastAsia="宋体" w:cs="Times New Roman"/>
          <w:sz w:val="28"/>
          <w:szCs w:val="28"/>
        </w:rPr>
      </w:pPr>
    </w:p>
    <w:p w14:paraId="40F209C3">
      <w:pPr>
        <w:jc w:val="center"/>
        <w:outlineLvl w:val="2"/>
        <w:rPr>
          <w:rFonts w:ascii="Times New Roman" w:hAnsi="Times New Roman" w:eastAsia="宋体" w:cs="Times New Roman"/>
          <w:sz w:val="28"/>
          <w:szCs w:val="28"/>
        </w:rPr>
      </w:pPr>
    </w:p>
    <w:p w14:paraId="206D51D7">
      <w:pPr>
        <w:jc w:val="center"/>
        <w:outlineLvl w:val="2"/>
        <w:rPr>
          <w:rFonts w:ascii="Times New Roman" w:hAnsi="Times New Roman" w:eastAsia="宋体" w:cs="Times New Roman"/>
          <w:sz w:val="28"/>
          <w:szCs w:val="28"/>
        </w:rPr>
      </w:pPr>
    </w:p>
    <w:p w14:paraId="1CE960FA">
      <w:pPr>
        <w:jc w:val="center"/>
        <w:outlineLvl w:val="2"/>
        <w:rPr>
          <w:rFonts w:ascii="Times New Roman" w:hAnsi="Times New Roman" w:eastAsia="宋体" w:cs="Times New Roman"/>
          <w:sz w:val="28"/>
          <w:szCs w:val="28"/>
        </w:rPr>
      </w:pPr>
    </w:p>
    <w:p w14:paraId="403A0F51">
      <w:pPr>
        <w:jc w:val="center"/>
        <w:outlineLvl w:val="2"/>
        <w:rPr>
          <w:rFonts w:ascii="Times New Roman" w:hAnsi="Times New Roman" w:eastAsia="宋体" w:cs="Times New Roman"/>
          <w:sz w:val="28"/>
          <w:szCs w:val="28"/>
        </w:rPr>
      </w:pPr>
    </w:p>
    <w:p w14:paraId="29F322D1">
      <w:pPr>
        <w:jc w:val="center"/>
        <w:outlineLvl w:val="2"/>
        <w:rPr>
          <w:rFonts w:ascii="Times New Roman" w:hAnsi="Times New Roman" w:eastAsia="宋体" w:cs="Times New Roman"/>
          <w:sz w:val="28"/>
          <w:szCs w:val="28"/>
        </w:rPr>
      </w:pPr>
      <w:bookmarkStart w:id="123" w:name="_Toc19481"/>
      <w:r>
        <w:rPr>
          <w:rFonts w:hint="eastAsia" w:ascii="Times New Roman" w:hAnsi="Times New Roman" w:eastAsia="宋体" w:cs="Times New Roman"/>
          <w:sz w:val="28"/>
          <w:szCs w:val="28"/>
        </w:rPr>
        <w:t>（八）</w:t>
      </w:r>
      <w:r>
        <w:rPr>
          <w:rFonts w:ascii="Times New Roman" w:hAnsi="Times New Roman" w:eastAsia="宋体" w:cs="Times New Roman"/>
          <w:sz w:val="28"/>
          <w:szCs w:val="28"/>
        </w:rPr>
        <w:t>本项目的特定资格要求</w:t>
      </w:r>
      <w:bookmarkEnd w:id="123"/>
    </w:p>
    <w:p w14:paraId="32F0A384">
      <w:pPr>
        <w:pStyle w:val="10"/>
      </w:pPr>
    </w:p>
    <w:p w14:paraId="54BDD173">
      <w:pPr>
        <w:pStyle w:val="10"/>
      </w:pPr>
    </w:p>
    <w:p w14:paraId="11190218">
      <w:pPr>
        <w:pStyle w:val="10"/>
      </w:pPr>
    </w:p>
    <w:p w14:paraId="077219FB">
      <w:pPr>
        <w:pStyle w:val="10"/>
      </w:pPr>
    </w:p>
    <w:p w14:paraId="3F5B5BB2">
      <w:pPr>
        <w:pStyle w:val="10"/>
      </w:pPr>
    </w:p>
    <w:p w14:paraId="2ED98745">
      <w:pPr>
        <w:pStyle w:val="10"/>
      </w:pPr>
    </w:p>
    <w:p w14:paraId="6A27201B">
      <w:pPr>
        <w:pStyle w:val="10"/>
      </w:pPr>
    </w:p>
    <w:p w14:paraId="7A0794EE">
      <w:pPr>
        <w:pStyle w:val="10"/>
      </w:pPr>
    </w:p>
    <w:p w14:paraId="0FE96899">
      <w:pPr>
        <w:pStyle w:val="10"/>
      </w:pPr>
    </w:p>
    <w:p w14:paraId="085E6C0F">
      <w:pPr>
        <w:pStyle w:val="10"/>
      </w:pPr>
    </w:p>
    <w:p w14:paraId="296430F3">
      <w:pPr>
        <w:pStyle w:val="10"/>
      </w:pPr>
    </w:p>
    <w:p w14:paraId="03B6A848">
      <w:pPr>
        <w:pStyle w:val="10"/>
      </w:pPr>
    </w:p>
    <w:p w14:paraId="11628902">
      <w:pPr>
        <w:pStyle w:val="10"/>
      </w:pPr>
    </w:p>
    <w:p w14:paraId="0C2EC3B5">
      <w:pPr>
        <w:pStyle w:val="10"/>
      </w:pPr>
    </w:p>
    <w:p w14:paraId="6F8B7A99">
      <w:pPr>
        <w:jc w:val="center"/>
        <w:outlineLvl w:val="2"/>
        <w:rPr>
          <w:rFonts w:ascii="宋体" w:hAnsi="宋体" w:eastAsia="宋体" w:cs="宋体"/>
          <w:sz w:val="24"/>
        </w:rPr>
      </w:pPr>
      <w:r>
        <w:rPr>
          <w:rFonts w:ascii="宋体" w:hAnsi="宋体" w:eastAsia="宋体" w:cs="宋体"/>
          <w:sz w:val="24"/>
        </w:rPr>
        <w:br w:type="page"/>
      </w:r>
    </w:p>
    <w:p w14:paraId="54EB3525">
      <w:pPr>
        <w:jc w:val="center"/>
        <w:outlineLvl w:val="2"/>
        <w:rPr>
          <w:rFonts w:ascii="Times New Roman" w:hAnsi="Times New Roman" w:eastAsia="宋体" w:cs="Times New Roman"/>
          <w:sz w:val="28"/>
          <w:szCs w:val="28"/>
        </w:rPr>
      </w:pPr>
      <w:bookmarkStart w:id="124" w:name="_Toc29474"/>
      <w:r>
        <w:rPr>
          <w:rFonts w:hint="eastAsia" w:ascii="Times New Roman" w:hAnsi="Times New Roman" w:eastAsia="宋体" w:cs="Times New Roman"/>
          <w:sz w:val="28"/>
          <w:szCs w:val="28"/>
        </w:rPr>
        <w:t>（九）</w:t>
      </w:r>
      <w:r>
        <w:rPr>
          <w:rFonts w:ascii="Times New Roman" w:hAnsi="Times New Roman" w:eastAsia="宋体" w:cs="Times New Roman"/>
          <w:sz w:val="28"/>
          <w:szCs w:val="28"/>
        </w:rPr>
        <w:t>法定代表人(负责人)身份证明书</w:t>
      </w:r>
      <w:bookmarkEnd w:id="124"/>
    </w:p>
    <w:p w14:paraId="5E62A621">
      <w:pPr>
        <w:spacing w:line="440" w:lineRule="exact"/>
        <w:ind w:firstLine="480" w:firstLineChars="200"/>
        <w:rPr>
          <w:rFonts w:ascii="宋体" w:hAnsi="宋体" w:eastAsia="宋体" w:cs="宋体"/>
          <w:sz w:val="24"/>
        </w:rPr>
      </w:pPr>
    </w:p>
    <w:p w14:paraId="098C2A17">
      <w:pPr>
        <w:spacing w:line="440" w:lineRule="exact"/>
        <w:ind w:firstLine="480" w:firstLineChars="200"/>
        <w:rPr>
          <w:rFonts w:ascii="宋体" w:hAnsi="宋体" w:eastAsia="宋体" w:cs="宋体"/>
          <w:sz w:val="24"/>
        </w:rPr>
      </w:pPr>
      <w:r>
        <w:rPr>
          <w:rFonts w:ascii="宋体" w:hAnsi="宋体" w:eastAsia="宋体" w:cs="宋体"/>
          <w:sz w:val="24"/>
        </w:rPr>
        <w:t>兹证明</w:t>
      </w:r>
      <w:r>
        <w:rPr>
          <w:rFonts w:ascii="宋体" w:hAnsi="宋体" w:eastAsia="宋体" w:cs="宋体"/>
          <w:sz w:val="24"/>
          <w:u w:val="single"/>
        </w:rPr>
        <w:t>(姓名)</w:t>
      </w:r>
      <w:r>
        <w:rPr>
          <w:rFonts w:ascii="宋体" w:hAnsi="宋体" w:eastAsia="宋体" w:cs="宋体"/>
          <w:sz w:val="24"/>
        </w:rPr>
        <w:t>同志，性别</w:t>
      </w:r>
      <w:r>
        <w:rPr>
          <w:rFonts w:ascii="宋体" w:hAnsi="宋体" w:eastAsia="宋体" w:cs="宋体"/>
          <w:sz w:val="24"/>
          <w:u w:val="single"/>
        </w:rPr>
        <w:t>(男/女)</w:t>
      </w:r>
      <w:r>
        <w:rPr>
          <w:rFonts w:ascii="宋体" w:hAnsi="宋体" w:eastAsia="宋体" w:cs="宋体"/>
          <w:sz w:val="24"/>
        </w:rPr>
        <w:t>,居民身份证号</w:t>
      </w:r>
      <w:r>
        <w:rPr>
          <w:rFonts w:ascii="宋体" w:hAnsi="宋体" w:eastAsia="宋体" w:cs="宋体"/>
          <w:sz w:val="24"/>
          <w:u w:val="single"/>
        </w:rPr>
        <w:t>(身份证号码)</w:t>
      </w:r>
      <w:r>
        <w:rPr>
          <w:rFonts w:ascii="宋体" w:hAnsi="宋体" w:eastAsia="宋体" w:cs="宋体"/>
          <w:sz w:val="24"/>
        </w:rPr>
        <w:t>,在我单位任</w:t>
      </w:r>
      <w:r>
        <w:rPr>
          <w:rFonts w:ascii="宋体" w:hAnsi="宋体" w:eastAsia="宋体" w:cs="宋体"/>
          <w:sz w:val="24"/>
          <w:u w:val="single"/>
        </w:rPr>
        <w:t>(职务)</w:t>
      </w:r>
      <w:r>
        <w:rPr>
          <w:rFonts w:ascii="宋体" w:hAnsi="宋体" w:eastAsia="宋体" w:cs="宋体"/>
          <w:sz w:val="24"/>
        </w:rPr>
        <w:t>,系我单位主要负责人即法定代表人。</w:t>
      </w:r>
    </w:p>
    <w:p w14:paraId="61376F9F">
      <w:pPr>
        <w:spacing w:line="282" w:lineRule="auto"/>
        <w:rPr>
          <w:rFonts w:ascii="Arial"/>
        </w:rPr>
      </w:pPr>
    </w:p>
    <w:p w14:paraId="26C21A9A">
      <w:pPr>
        <w:spacing w:line="440" w:lineRule="exact"/>
        <w:ind w:firstLine="480" w:firstLineChars="200"/>
        <w:rPr>
          <w:rFonts w:ascii="宋体" w:hAnsi="宋体" w:eastAsia="宋体" w:cs="宋体"/>
          <w:sz w:val="24"/>
          <w:u w:val="single"/>
        </w:rPr>
      </w:pPr>
      <w:r>
        <w:rPr>
          <w:rFonts w:ascii="宋体" w:hAnsi="宋体" w:eastAsia="宋体" w:cs="宋体"/>
          <w:sz w:val="24"/>
        </w:rPr>
        <w:t>单位地址：</w:t>
      </w:r>
      <w:r>
        <w:rPr>
          <w:rFonts w:ascii="宋体" w:hAnsi="宋体" w:eastAsia="宋体" w:cs="宋体"/>
          <w:sz w:val="24"/>
          <w:u w:val="single"/>
        </w:rPr>
        <w:t>××</w:t>
      </w:r>
    </w:p>
    <w:p w14:paraId="7F8358BD">
      <w:pPr>
        <w:spacing w:line="440" w:lineRule="exact"/>
        <w:ind w:firstLine="480" w:firstLineChars="200"/>
        <w:rPr>
          <w:rFonts w:ascii="宋体" w:hAnsi="宋体" w:eastAsia="宋体" w:cs="宋体"/>
          <w:sz w:val="24"/>
        </w:rPr>
      </w:pPr>
    </w:p>
    <w:p w14:paraId="6CF03FD8">
      <w:pPr>
        <w:spacing w:line="440" w:lineRule="exact"/>
        <w:ind w:firstLine="480" w:firstLineChars="200"/>
        <w:rPr>
          <w:rFonts w:ascii="宋体" w:hAnsi="宋体" w:eastAsia="宋体" w:cs="宋体"/>
          <w:sz w:val="24"/>
          <w:u w:val="single"/>
        </w:rPr>
      </w:pPr>
      <w:r>
        <w:rPr>
          <w:rFonts w:ascii="宋体" w:hAnsi="宋体" w:eastAsia="宋体" w:cs="宋体"/>
          <w:sz w:val="24"/>
        </w:rPr>
        <w:t>电话：</w:t>
      </w:r>
      <w:r>
        <w:rPr>
          <w:rFonts w:ascii="宋体" w:hAnsi="宋体" w:eastAsia="宋体" w:cs="宋体"/>
          <w:sz w:val="24"/>
          <w:u w:val="single"/>
        </w:rPr>
        <w:t>××</w:t>
      </w:r>
    </w:p>
    <w:p w14:paraId="57CE44F7">
      <w:pPr>
        <w:spacing w:line="440" w:lineRule="exact"/>
        <w:ind w:firstLine="480" w:firstLineChars="200"/>
        <w:rPr>
          <w:rFonts w:ascii="宋体" w:hAnsi="宋体" w:eastAsia="宋体" w:cs="宋体"/>
          <w:sz w:val="24"/>
        </w:rPr>
      </w:pPr>
    </w:p>
    <w:p w14:paraId="1F38AF8B">
      <w:pPr>
        <w:spacing w:line="440" w:lineRule="exact"/>
        <w:ind w:firstLine="480" w:firstLineChars="200"/>
        <w:rPr>
          <w:rFonts w:ascii="宋体" w:hAnsi="宋体" w:eastAsia="宋体" w:cs="宋体"/>
          <w:sz w:val="24"/>
          <w:u w:val="single"/>
        </w:rPr>
      </w:pPr>
      <w:r>
        <w:rPr>
          <w:rFonts w:ascii="宋体" w:hAnsi="宋体" w:eastAsia="宋体" w:cs="宋体"/>
          <w:sz w:val="24"/>
        </w:rPr>
        <w:t>单位全称：</w:t>
      </w:r>
      <w:r>
        <w:rPr>
          <w:rFonts w:ascii="宋体" w:hAnsi="宋体" w:eastAsia="宋体" w:cs="宋体"/>
          <w:sz w:val="24"/>
          <w:u w:val="single"/>
        </w:rPr>
        <w:t>××</w:t>
      </w:r>
    </w:p>
    <w:p w14:paraId="5CB32BFB">
      <w:pPr>
        <w:spacing w:line="440" w:lineRule="exact"/>
        <w:ind w:firstLine="480" w:firstLineChars="200"/>
        <w:rPr>
          <w:rFonts w:ascii="宋体" w:hAnsi="宋体" w:eastAsia="宋体" w:cs="宋体"/>
          <w:sz w:val="24"/>
        </w:rPr>
      </w:pPr>
    </w:p>
    <w:p w14:paraId="60AB16C5">
      <w:pPr>
        <w:spacing w:line="440" w:lineRule="exact"/>
        <w:ind w:firstLine="480" w:firstLineChars="200"/>
        <w:rPr>
          <w:rFonts w:ascii="宋体" w:hAnsi="宋体" w:eastAsia="宋体" w:cs="宋体"/>
          <w:sz w:val="24"/>
          <w:u w:val="single"/>
        </w:rPr>
      </w:pPr>
      <w:r>
        <w:rPr>
          <w:rFonts w:ascii="宋体" w:hAnsi="宋体" w:eastAsia="宋体" w:cs="宋体"/>
          <w:sz w:val="24"/>
        </w:rPr>
        <w:t>单位盖章：</w:t>
      </w:r>
      <w:r>
        <w:rPr>
          <w:rFonts w:ascii="宋体" w:hAnsi="宋体" w:eastAsia="宋体" w:cs="宋体"/>
          <w:sz w:val="24"/>
          <w:u w:val="single"/>
        </w:rPr>
        <w:t>××</w:t>
      </w:r>
    </w:p>
    <w:p w14:paraId="1E957490">
      <w:pPr>
        <w:spacing w:line="440" w:lineRule="exact"/>
        <w:ind w:firstLine="480" w:firstLineChars="200"/>
        <w:rPr>
          <w:rFonts w:ascii="宋体" w:hAnsi="宋体" w:eastAsia="宋体" w:cs="宋体"/>
          <w:sz w:val="24"/>
        </w:rPr>
      </w:pPr>
    </w:p>
    <w:p w14:paraId="66A5687D">
      <w:pPr>
        <w:spacing w:line="440" w:lineRule="exact"/>
        <w:ind w:firstLine="480" w:firstLineChars="200"/>
        <w:rPr>
          <w:rFonts w:ascii="宋体" w:hAnsi="宋体" w:eastAsia="宋体" w:cs="宋体"/>
          <w:sz w:val="24"/>
        </w:rPr>
      </w:pPr>
    </w:p>
    <w:p w14:paraId="72A67BBE">
      <w:pPr>
        <w:spacing w:line="440" w:lineRule="exact"/>
        <w:ind w:firstLine="480" w:firstLineChars="200"/>
        <w:rPr>
          <w:rFonts w:ascii="宋体" w:hAnsi="宋体" w:eastAsia="宋体" w:cs="宋体"/>
          <w:sz w:val="24"/>
        </w:rPr>
      </w:pPr>
    </w:p>
    <w:p w14:paraId="77E61D48">
      <w:pPr>
        <w:spacing w:line="440" w:lineRule="exact"/>
        <w:ind w:firstLine="480" w:firstLineChars="200"/>
        <w:jc w:val="right"/>
        <w:rPr>
          <w:rFonts w:ascii="宋体" w:hAnsi="宋体" w:eastAsia="宋体" w:cs="宋体"/>
          <w:sz w:val="24"/>
        </w:rPr>
      </w:pPr>
      <w:r>
        <w:rPr>
          <w:rFonts w:ascii="宋体" w:hAnsi="宋体" w:eastAsia="宋体" w:cs="宋体"/>
          <w:sz w:val="24"/>
        </w:rPr>
        <w:t>年月日</w:t>
      </w:r>
    </w:p>
    <w:p w14:paraId="51FE5DB3">
      <w:pPr>
        <w:spacing w:line="265" w:lineRule="auto"/>
        <w:rPr>
          <w:rFonts w:ascii="Arial"/>
        </w:rPr>
      </w:pPr>
    </w:p>
    <w:p w14:paraId="265D7053">
      <w:pPr>
        <w:spacing w:line="265" w:lineRule="auto"/>
        <w:rPr>
          <w:rFonts w:ascii="Arial"/>
        </w:rPr>
      </w:pPr>
    </w:p>
    <w:p w14:paraId="69AAE0E3">
      <w:pPr>
        <w:spacing w:line="265" w:lineRule="auto"/>
        <w:rPr>
          <w:rFonts w:ascii="Arial"/>
        </w:rPr>
      </w:pPr>
    </w:p>
    <w:p w14:paraId="5B826245">
      <w:pPr>
        <w:spacing w:line="440" w:lineRule="exact"/>
        <w:ind w:firstLine="480" w:firstLineChars="200"/>
        <w:rPr>
          <w:rFonts w:ascii="宋体" w:hAnsi="宋体" w:eastAsia="宋体" w:cs="宋体"/>
          <w:sz w:val="24"/>
        </w:rPr>
      </w:pPr>
      <w:r>
        <w:rPr>
          <w:rFonts w:ascii="宋体" w:hAnsi="宋体" w:eastAsia="宋体" w:cs="宋体"/>
          <w:sz w:val="24"/>
        </w:rPr>
        <w:t>附：法定代表人居民身份证扫描件</w:t>
      </w:r>
    </w:p>
    <w:p w14:paraId="1D4F99A3">
      <w:pPr>
        <w:spacing w:line="440" w:lineRule="exact"/>
        <w:ind w:firstLine="480" w:firstLineChars="200"/>
        <w:rPr>
          <w:rFonts w:ascii="宋体" w:hAnsi="宋体" w:eastAsia="宋体" w:cs="宋体"/>
          <w:sz w:val="24"/>
        </w:rPr>
      </w:pPr>
      <w:r>
        <w:rPr>
          <w:rFonts w:ascii="宋体" w:hAnsi="宋体" w:eastAsia="宋体" w:cs="宋体"/>
          <w:sz w:val="24"/>
        </w:rPr>
        <w:t>注：供应商属于非法人组织的，按照法律、行政法规规定能够对外代表其从事民事活动的主要负责人，如个人独资企业的投资人，代表合伙企业执行</w:t>
      </w:r>
      <w:r>
        <w:rPr>
          <w:rFonts w:hint="eastAsia" w:ascii="宋体" w:hAnsi="宋体" w:eastAsia="宋体" w:cs="宋体"/>
          <w:sz w:val="24"/>
        </w:rPr>
        <w:t>合伙企业事务的合伙人等，视同法定代表人。</w:t>
      </w:r>
    </w:p>
    <w:p w14:paraId="11C5C474">
      <w:pPr>
        <w:pStyle w:val="6"/>
        <w:sectPr>
          <w:footerReference r:id="rId14" w:type="default"/>
          <w:pgSz w:w="11906" w:h="16838"/>
          <w:pgMar w:top="1440" w:right="1242" w:bottom="1440" w:left="1242" w:header="851" w:footer="992" w:gutter="0"/>
          <w:cols w:space="425" w:num="1"/>
          <w:docGrid w:type="lines" w:linePitch="312" w:charSpace="0"/>
        </w:sectPr>
      </w:pPr>
    </w:p>
    <w:p w14:paraId="6B0E5F7E">
      <w:pPr>
        <w:jc w:val="center"/>
        <w:outlineLvl w:val="2"/>
        <w:rPr>
          <w:rFonts w:ascii="Times New Roman" w:hAnsi="Times New Roman" w:eastAsia="宋体" w:cs="Times New Roman"/>
          <w:sz w:val="28"/>
          <w:szCs w:val="28"/>
        </w:rPr>
      </w:pPr>
      <w:bookmarkStart w:id="125" w:name="_Toc373"/>
      <w:r>
        <w:rPr>
          <w:rFonts w:hint="eastAsia" w:ascii="Times New Roman" w:hAnsi="Times New Roman" w:eastAsia="宋体" w:cs="Times New Roman"/>
          <w:sz w:val="28"/>
          <w:szCs w:val="28"/>
        </w:rPr>
        <w:t>（十）</w:t>
      </w:r>
      <w:r>
        <w:rPr>
          <w:rFonts w:ascii="Times New Roman" w:hAnsi="Times New Roman" w:eastAsia="宋体" w:cs="Times New Roman"/>
          <w:sz w:val="28"/>
          <w:szCs w:val="28"/>
        </w:rPr>
        <w:t>法定代表人(负责人)授权委托书</w:t>
      </w:r>
      <w:bookmarkEnd w:id="125"/>
    </w:p>
    <w:p w14:paraId="21725E4F">
      <w:pPr>
        <w:spacing w:line="440" w:lineRule="exact"/>
        <w:ind w:firstLine="480" w:firstLineChars="200"/>
        <w:rPr>
          <w:rFonts w:ascii="宋体" w:hAnsi="宋体" w:eastAsia="宋体" w:cs="宋体"/>
          <w:sz w:val="24"/>
        </w:rPr>
      </w:pPr>
      <w:r>
        <w:rPr>
          <w:rFonts w:ascii="宋体" w:hAnsi="宋体" w:eastAsia="宋体" w:cs="宋体"/>
          <w:sz w:val="24"/>
        </w:rPr>
        <w:t>本授权书声明：</w:t>
      </w:r>
      <w:r>
        <w:rPr>
          <w:rFonts w:ascii="宋体" w:hAnsi="宋体" w:eastAsia="宋体" w:cs="宋体"/>
          <w:sz w:val="24"/>
          <w:u w:val="single"/>
        </w:rPr>
        <w:t>(供应商名称)</w:t>
      </w:r>
      <w:r>
        <w:rPr>
          <w:rFonts w:ascii="宋体" w:hAnsi="宋体" w:eastAsia="宋体" w:cs="宋体"/>
          <w:sz w:val="24"/>
        </w:rPr>
        <w:t>法定代表人(负责人)</w:t>
      </w:r>
      <w:r>
        <w:rPr>
          <w:rFonts w:ascii="宋体" w:hAnsi="宋体" w:eastAsia="宋体" w:cs="宋体"/>
          <w:sz w:val="24"/>
          <w:u w:val="single"/>
        </w:rPr>
        <w:t>(姓名)</w:t>
      </w:r>
      <w:r>
        <w:rPr>
          <w:rFonts w:ascii="宋体" w:hAnsi="宋体" w:eastAsia="宋体" w:cs="宋体"/>
          <w:sz w:val="24"/>
        </w:rPr>
        <w:t>授权</w:t>
      </w:r>
      <w:r>
        <w:rPr>
          <w:rFonts w:ascii="宋体" w:hAnsi="宋体" w:eastAsia="宋体" w:cs="宋体"/>
          <w:sz w:val="24"/>
          <w:u w:val="single"/>
        </w:rPr>
        <w:t>(委托代理人的姓名、职务)</w:t>
      </w:r>
      <w:r>
        <w:rPr>
          <w:rFonts w:ascii="宋体" w:hAnsi="宋体" w:eastAsia="宋体" w:cs="宋体"/>
          <w:sz w:val="24"/>
        </w:rPr>
        <w:t>为我方就</w:t>
      </w:r>
      <w:r>
        <w:rPr>
          <w:rFonts w:ascii="宋体" w:hAnsi="宋体" w:eastAsia="宋体" w:cs="宋体"/>
          <w:sz w:val="24"/>
          <w:u w:val="single"/>
        </w:rPr>
        <w:t>××××(代理机构)代理的××××(项目编号、项目名称)</w:t>
      </w:r>
      <w:r>
        <w:rPr>
          <w:rFonts w:ascii="宋体" w:hAnsi="宋体" w:eastAsia="宋体" w:cs="宋体"/>
          <w:sz w:val="24"/>
        </w:rPr>
        <w:t>项目的谈判活动的合法代理人，以本单位名义全权处理一切与该项目谈判有关的事务(含合同签订)。</w:t>
      </w:r>
    </w:p>
    <w:p w14:paraId="3B98C827">
      <w:pPr>
        <w:spacing w:line="440" w:lineRule="exact"/>
        <w:ind w:firstLine="480" w:firstLineChars="200"/>
        <w:rPr>
          <w:rFonts w:ascii="宋体" w:hAnsi="宋体" w:eastAsia="宋体" w:cs="宋体"/>
          <w:sz w:val="24"/>
        </w:rPr>
      </w:pPr>
    </w:p>
    <w:p w14:paraId="6F4356A2">
      <w:pPr>
        <w:spacing w:line="440" w:lineRule="exact"/>
        <w:ind w:firstLine="480" w:firstLineChars="200"/>
        <w:rPr>
          <w:rFonts w:ascii="宋体" w:hAnsi="宋体" w:eastAsia="宋体" w:cs="宋体"/>
          <w:sz w:val="24"/>
        </w:rPr>
      </w:pPr>
      <w:r>
        <w:rPr>
          <w:rFonts w:ascii="宋体" w:hAnsi="宋体" w:eastAsia="宋体" w:cs="宋体"/>
          <w:sz w:val="24"/>
        </w:rPr>
        <w:t>本授权委托书于</w:t>
      </w:r>
      <w:r>
        <w:rPr>
          <w:rFonts w:ascii="宋体" w:hAnsi="宋体" w:eastAsia="宋体" w:cs="宋体"/>
          <w:sz w:val="24"/>
          <w:u w:val="single"/>
        </w:rPr>
        <w:t>××</w:t>
      </w:r>
      <w:r>
        <w:rPr>
          <w:rFonts w:ascii="宋体" w:hAnsi="宋体" w:eastAsia="宋体" w:cs="宋体"/>
          <w:sz w:val="24"/>
        </w:rPr>
        <w:t>年</w:t>
      </w:r>
      <w:r>
        <w:rPr>
          <w:rFonts w:ascii="宋体" w:hAnsi="宋体" w:eastAsia="宋体" w:cs="宋体"/>
          <w:sz w:val="24"/>
          <w:u w:val="single"/>
        </w:rPr>
        <w:t>××</w:t>
      </w:r>
      <w:r>
        <w:rPr>
          <w:rFonts w:ascii="宋体" w:hAnsi="宋体" w:eastAsia="宋体" w:cs="宋体"/>
          <w:sz w:val="24"/>
        </w:rPr>
        <w:t>月</w:t>
      </w:r>
      <w:r>
        <w:rPr>
          <w:rFonts w:ascii="宋体" w:hAnsi="宋体" w:eastAsia="宋体" w:cs="宋体"/>
          <w:sz w:val="24"/>
          <w:u w:val="single"/>
        </w:rPr>
        <w:t>××</w:t>
      </w:r>
      <w:r>
        <w:rPr>
          <w:rFonts w:ascii="宋体" w:hAnsi="宋体" w:eastAsia="宋体" w:cs="宋体"/>
          <w:sz w:val="24"/>
        </w:rPr>
        <w:t>日在相应位置签字或盖章后生效，特此声明。</w:t>
      </w:r>
    </w:p>
    <w:p w14:paraId="055F7639"/>
    <w:p w14:paraId="3A471571">
      <w:pPr>
        <w:spacing w:line="440" w:lineRule="exact"/>
        <w:ind w:firstLine="480" w:firstLineChars="200"/>
        <w:rPr>
          <w:rFonts w:ascii="宋体" w:hAnsi="宋体" w:eastAsia="宋体" w:cs="宋体"/>
          <w:sz w:val="24"/>
        </w:rPr>
      </w:pPr>
      <w:r>
        <w:rPr>
          <w:rFonts w:ascii="宋体" w:hAnsi="宋体" w:eastAsia="宋体" w:cs="宋体"/>
          <w:sz w:val="24"/>
        </w:rPr>
        <w:t>委托代理人身份证号码：</w:t>
      </w:r>
    </w:p>
    <w:p w14:paraId="540E5462"/>
    <w:p w14:paraId="44C8269E">
      <w:pPr>
        <w:spacing w:line="440" w:lineRule="exact"/>
        <w:ind w:firstLine="480" w:firstLineChars="200"/>
        <w:rPr>
          <w:rFonts w:ascii="宋体" w:hAnsi="宋体" w:eastAsia="宋体" w:cs="宋体"/>
          <w:sz w:val="24"/>
        </w:rPr>
      </w:pPr>
      <w:r>
        <w:rPr>
          <w:rFonts w:ascii="宋体" w:hAnsi="宋体" w:eastAsia="宋体" w:cs="宋体"/>
          <w:sz w:val="24"/>
        </w:rPr>
        <w:t>委托代理人联系电话：(手机)</w:t>
      </w:r>
    </w:p>
    <w:p w14:paraId="4D7E4E45"/>
    <w:p w14:paraId="018D82DD">
      <w:pPr>
        <w:spacing w:line="440" w:lineRule="exact"/>
        <w:ind w:firstLine="480" w:firstLineChars="200"/>
        <w:rPr>
          <w:rFonts w:ascii="宋体" w:hAnsi="宋体" w:eastAsia="宋体" w:cs="宋体"/>
          <w:sz w:val="24"/>
        </w:rPr>
      </w:pPr>
      <w:r>
        <w:rPr>
          <w:rFonts w:ascii="宋体" w:hAnsi="宋体" w:eastAsia="宋体" w:cs="宋体"/>
          <w:sz w:val="24"/>
        </w:rPr>
        <w:t>法定代表人(负责人)签章</w:t>
      </w:r>
      <w:r>
        <w:rPr>
          <w:rFonts w:hint="eastAsia" w:ascii="宋体" w:hAnsi="宋体" w:eastAsia="宋体" w:cs="宋体"/>
          <w:sz w:val="24"/>
        </w:rPr>
        <w:t>:</w:t>
      </w:r>
    </w:p>
    <w:p w14:paraId="2CE20AF0">
      <w:pPr>
        <w:spacing w:line="440" w:lineRule="exact"/>
        <w:ind w:firstLine="480" w:firstLineChars="200"/>
        <w:rPr>
          <w:rFonts w:ascii="宋体" w:hAnsi="宋体" w:eastAsia="宋体" w:cs="宋体"/>
          <w:sz w:val="24"/>
        </w:rPr>
      </w:pPr>
    </w:p>
    <w:p w14:paraId="76CA6AEF">
      <w:pPr>
        <w:spacing w:line="440" w:lineRule="exact"/>
        <w:ind w:firstLine="480" w:firstLineChars="200"/>
        <w:rPr>
          <w:rFonts w:ascii="宋体" w:hAnsi="宋体" w:eastAsia="宋体" w:cs="宋体"/>
          <w:sz w:val="24"/>
        </w:rPr>
      </w:pPr>
      <w:r>
        <w:rPr>
          <w:rFonts w:ascii="宋体" w:hAnsi="宋体" w:eastAsia="宋体" w:cs="宋体"/>
          <w:sz w:val="24"/>
        </w:rPr>
        <w:t>供应商名称(公章):</w:t>
      </w:r>
    </w:p>
    <w:p w14:paraId="4E753EAF"/>
    <w:p w14:paraId="02F2985E">
      <w:pPr>
        <w:spacing w:line="440" w:lineRule="exact"/>
        <w:ind w:firstLine="480" w:firstLineChars="200"/>
        <w:rPr>
          <w:rFonts w:ascii="宋体" w:hAnsi="宋体" w:eastAsia="宋体" w:cs="宋体"/>
          <w:sz w:val="24"/>
        </w:rPr>
      </w:pPr>
      <w:r>
        <w:rPr>
          <w:rFonts w:ascii="宋体" w:hAnsi="宋体" w:eastAsia="宋体" w:cs="宋体"/>
          <w:sz w:val="24"/>
        </w:rPr>
        <w:t>日期：</w:t>
      </w:r>
    </w:p>
    <w:p w14:paraId="2FCC0AFE"/>
    <w:p w14:paraId="41CE78A2">
      <w:pPr>
        <w:spacing w:line="440" w:lineRule="exact"/>
        <w:ind w:firstLine="480" w:firstLineChars="200"/>
        <w:rPr>
          <w:rFonts w:ascii="宋体" w:hAnsi="宋体" w:eastAsia="宋体" w:cs="宋体"/>
          <w:sz w:val="24"/>
        </w:rPr>
      </w:pPr>
      <w:r>
        <w:rPr>
          <w:rFonts w:ascii="宋体" w:hAnsi="宋体" w:eastAsia="宋体" w:cs="宋体"/>
          <w:sz w:val="24"/>
        </w:rPr>
        <w:t>附：委托代理人居民身份证扫描件</w:t>
      </w:r>
    </w:p>
    <w:p w14:paraId="28F6BED6">
      <w:pPr>
        <w:spacing w:line="440" w:lineRule="exact"/>
        <w:ind w:firstLine="480" w:firstLineChars="200"/>
        <w:rPr>
          <w:rFonts w:ascii="宋体" w:hAnsi="宋体" w:eastAsia="宋体" w:cs="宋体"/>
          <w:sz w:val="24"/>
        </w:rPr>
      </w:pPr>
      <w:r>
        <w:rPr>
          <w:rFonts w:ascii="宋体" w:hAnsi="宋体" w:eastAsia="宋体" w:cs="宋体"/>
          <w:sz w:val="24"/>
        </w:rPr>
        <w:t>注："法定代表人(负责人)"授权委托其他人磋商的，须填写法定代表人身份证明书和本授权委托书。</w:t>
      </w:r>
    </w:p>
    <w:p w14:paraId="1D03E55F"/>
    <w:p w14:paraId="398327E2"/>
    <w:p w14:paraId="779DCFAE"/>
    <w:p w14:paraId="7C354A75"/>
    <w:p w14:paraId="23765B46"/>
    <w:p w14:paraId="0E984E25"/>
    <w:p w14:paraId="03FAA063"/>
    <w:p w14:paraId="40E79942"/>
    <w:p w14:paraId="0FEF41A9"/>
    <w:p w14:paraId="68B6AB36"/>
    <w:p w14:paraId="42D32703"/>
    <w:p w14:paraId="398C6340"/>
    <w:p w14:paraId="59C85AD3"/>
    <w:p w14:paraId="765142EA"/>
    <w:p w14:paraId="26810B49"/>
    <w:p w14:paraId="3F9AC829"/>
    <w:p w14:paraId="2FFDA22A">
      <w:pPr>
        <w:tabs>
          <w:tab w:val="left" w:pos="2756"/>
        </w:tabs>
        <w:jc w:val="left"/>
      </w:pPr>
      <w:r>
        <w:rPr>
          <w:rFonts w:hint="eastAsia"/>
        </w:rPr>
        <w:tab/>
      </w:r>
    </w:p>
    <w:p w14:paraId="3042F3DC">
      <w:pPr>
        <w:pStyle w:val="21"/>
        <w:spacing w:before="99"/>
        <w:rPr>
          <w:rFonts w:ascii="楷体" w:hAnsi="楷体" w:eastAsia="楷体" w:cs="楷体"/>
        </w:rPr>
      </w:pPr>
      <w:bookmarkStart w:id="126" w:name="_Toc11751"/>
      <w:r>
        <w:rPr>
          <w:rFonts w:hint="eastAsia" w:ascii="Times New Roman" w:hAnsi="Times New Roman" w:eastAsia="宋体" w:cs="Times New Roman"/>
          <w:sz w:val="28"/>
          <w:szCs w:val="28"/>
        </w:rPr>
        <w:t>（十一）资格承诺函</w:t>
      </w:r>
      <w:bookmarkEnd w:id="126"/>
    </w:p>
    <w:p w14:paraId="13920728">
      <w:pPr>
        <w:pStyle w:val="7"/>
        <w:spacing w:before="9"/>
        <w:rPr>
          <w:rFonts w:ascii="楷体" w:hAnsi="楷体" w:eastAsia="楷体" w:cs="楷体"/>
          <w:sz w:val="64"/>
        </w:rPr>
      </w:pPr>
    </w:p>
    <w:p w14:paraId="642940E7">
      <w:pPr>
        <w:spacing w:line="440" w:lineRule="exact"/>
        <w:ind w:firstLine="480" w:firstLineChars="200"/>
        <w:rPr>
          <w:rFonts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rPr>
        <w:tab/>
      </w:r>
      <w:r>
        <w:rPr>
          <w:rFonts w:hint="eastAsia" w:ascii="宋体" w:hAnsi="宋体" w:eastAsia="宋体" w:cs="宋体"/>
          <w:sz w:val="24"/>
          <w:u w:val="single"/>
        </w:rPr>
        <w:t>（采购人、采购代理机构）</w:t>
      </w:r>
      <w:r>
        <w:rPr>
          <w:rFonts w:hint="eastAsia" w:ascii="宋体" w:hAnsi="宋体" w:eastAsia="宋体" w:cs="宋体"/>
          <w:sz w:val="24"/>
          <w:u w:val="single"/>
        </w:rPr>
        <w:tab/>
      </w:r>
    </w:p>
    <w:p w14:paraId="1DABC0AD">
      <w:pPr>
        <w:spacing w:line="440" w:lineRule="exact"/>
        <w:ind w:firstLine="480" w:firstLineChars="200"/>
        <w:rPr>
          <w:rFonts w:ascii="宋体" w:hAnsi="宋体" w:eastAsia="宋体" w:cs="宋体"/>
          <w:sz w:val="24"/>
        </w:rPr>
      </w:pPr>
    </w:p>
    <w:p w14:paraId="610B6FC2">
      <w:pPr>
        <w:spacing w:line="440" w:lineRule="exact"/>
        <w:ind w:firstLine="480" w:firstLineChars="200"/>
        <w:rPr>
          <w:rFonts w:ascii="宋体" w:hAnsi="宋体" w:eastAsia="宋体" w:cs="宋体"/>
          <w:sz w:val="24"/>
        </w:rPr>
      </w:pPr>
      <w:r>
        <w:rPr>
          <w:rFonts w:hint="eastAsia" w:ascii="宋体" w:hAnsi="宋体" w:eastAsia="宋体" w:cs="宋体"/>
          <w:sz w:val="24"/>
        </w:rPr>
        <w:t>我单位参与</w:t>
      </w:r>
      <w:r>
        <w:rPr>
          <w:rFonts w:hint="eastAsia" w:ascii="宋体" w:hAnsi="宋体" w:eastAsia="宋体" w:cs="宋体"/>
          <w:sz w:val="24"/>
          <w:u w:val="single"/>
        </w:rPr>
        <w:tab/>
      </w:r>
      <w:r>
        <w:rPr>
          <w:rFonts w:hint="eastAsia" w:ascii="宋体" w:hAnsi="宋体" w:eastAsia="宋体" w:cs="宋体"/>
          <w:sz w:val="24"/>
          <w:u w:val="single"/>
        </w:rPr>
        <w:t>（项目名称）</w:t>
      </w:r>
      <w:r>
        <w:rPr>
          <w:rFonts w:hint="eastAsia" w:ascii="宋体" w:hAnsi="宋体" w:eastAsia="宋体" w:cs="宋体"/>
          <w:sz w:val="24"/>
          <w:u w:val="single"/>
        </w:rPr>
        <w:tab/>
      </w:r>
      <w:r>
        <w:rPr>
          <w:rFonts w:hint="eastAsia" w:ascii="宋体" w:hAnsi="宋体" w:eastAsia="宋体" w:cs="宋体"/>
          <w:sz w:val="24"/>
          <w:u w:val="single"/>
        </w:rPr>
        <w:t>（项目编号：</w:t>
      </w:r>
      <w:r>
        <w:rPr>
          <w:rFonts w:hint="eastAsia" w:ascii="宋体" w:hAnsi="宋体" w:eastAsia="宋体" w:cs="宋体"/>
          <w:sz w:val="24"/>
          <w:u w:val="single"/>
        </w:rPr>
        <w:tab/>
      </w:r>
      <w:r>
        <w:rPr>
          <w:rFonts w:hint="eastAsia" w:ascii="宋体" w:hAnsi="宋体" w:eastAsia="宋体" w:cs="宋体"/>
          <w:sz w:val="24"/>
          <w:u w:val="single"/>
        </w:rPr>
        <w:t>）</w:t>
      </w:r>
      <w:r>
        <w:rPr>
          <w:rFonts w:hint="eastAsia" w:ascii="宋体" w:hAnsi="宋体" w:eastAsia="宋体" w:cs="宋体"/>
          <w:sz w:val="24"/>
        </w:rPr>
        <w:t>项目的政府采购活动，现承诺如下：</w:t>
      </w:r>
    </w:p>
    <w:p w14:paraId="0ECB4730">
      <w:pPr>
        <w:spacing w:line="440" w:lineRule="exact"/>
        <w:ind w:firstLine="480" w:firstLineChars="200"/>
        <w:rPr>
          <w:rFonts w:ascii="宋体" w:hAnsi="宋体" w:eastAsia="宋体" w:cs="宋体"/>
          <w:sz w:val="24"/>
        </w:rPr>
      </w:pPr>
    </w:p>
    <w:p w14:paraId="2776AA85">
      <w:pPr>
        <w:spacing w:line="440" w:lineRule="exact"/>
        <w:ind w:firstLine="480" w:firstLineChars="200"/>
        <w:rPr>
          <w:rFonts w:ascii="宋体" w:hAnsi="宋体" w:eastAsia="宋体" w:cs="宋体"/>
          <w:sz w:val="24"/>
        </w:rPr>
      </w:pPr>
      <w:r>
        <w:rPr>
          <w:rFonts w:hint="eastAsia" w:ascii="宋体" w:hAnsi="宋体" w:eastAsia="宋体" w:cs="宋体"/>
          <w:sz w:val="24"/>
        </w:rPr>
        <w:t>（1）我方具有独立承担民事责任的能力。</w:t>
      </w:r>
    </w:p>
    <w:p w14:paraId="0E787EFF">
      <w:pPr>
        <w:spacing w:line="440" w:lineRule="exact"/>
        <w:ind w:firstLine="480" w:firstLineChars="200"/>
        <w:rPr>
          <w:rFonts w:ascii="宋体" w:hAnsi="宋体" w:eastAsia="宋体" w:cs="宋体"/>
          <w:sz w:val="24"/>
        </w:rPr>
      </w:pPr>
      <w:r>
        <w:rPr>
          <w:rFonts w:hint="eastAsia" w:ascii="宋体" w:hAnsi="宋体" w:eastAsia="宋体" w:cs="宋体"/>
          <w:sz w:val="24"/>
        </w:rPr>
        <w:t>（2）我方具有良好的商业信誉和健全的财务会计制度。</w:t>
      </w:r>
    </w:p>
    <w:p w14:paraId="3FACA579">
      <w:pPr>
        <w:spacing w:line="440" w:lineRule="exact"/>
        <w:ind w:firstLine="480" w:firstLineChars="200"/>
        <w:rPr>
          <w:rFonts w:ascii="宋体" w:hAnsi="宋体" w:eastAsia="宋体" w:cs="宋体"/>
          <w:sz w:val="24"/>
        </w:rPr>
      </w:pPr>
      <w:r>
        <w:rPr>
          <w:rFonts w:hint="eastAsia" w:ascii="宋体" w:hAnsi="宋体" w:eastAsia="宋体" w:cs="宋体"/>
          <w:sz w:val="24"/>
        </w:rPr>
        <w:t>（3）我方具有履行合同所必需的设备和专业技术能力。</w:t>
      </w:r>
    </w:p>
    <w:p w14:paraId="5D54EC92">
      <w:pPr>
        <w:spacing w:line="440" w:lineRule="exact"/>
        <w:ind w:firstLine="480" w:firstLineChars="200"/>
        <w:rPr>
          <w:rFonts w:ascii="宋体" w:hAnsi="宋体" w:eastAsia="宋体" w:cs="宋体"/>
          <w:sz w:val="24"/>
        </w:rPr>
      </w:pPr>
      <w:r>
        <w:rPr>
          <w:rFonts w:hint="eastAsia" w:ascii="宋体" w:hAnsi="宋体" w:eastAsia="宋体" w:cs="宋体"/>
          <w:sz w:val="24"/>
        </w:rPr>
        <w:t>（4）我方具有依法缴纳税收和社会保障资金的良好记录。</w:t>
      </w:r>
    </w:p>
    <w:p w14:paraId="1E04802C">
      <w:pPr>
        <w:spacing w:line="440" w:lineRule="exact"/>
        <w:ind w:firstLine="480" w:firstLineChars="200"/>
        <w:rPr>
          <w:rFonts w:ascii="宋体" w:hAnsi="宋体" w:eastAsia="宋体" w:cs="宋体"/>
          <w:sz w:val="24"/>
        </w:rPr>
      </w:pPr>
      <w:r>
        <w:rPr>
          <w:rFonts w:hint="eastAsia" w:ascii="宋体" w:hAnsi="宋体" w:eastAsia="宋体" w:cs="宋体"/>
          <w:sz w:val="24"/>
        </w:rPr>
        <w:t>（5）我方参加本项目采购活动前三年内，在经营活动中没有重大违法记录。</w:t>
      </w:r>
    </w:p>
    <w:p w14:paraId="2DB5D760">
      <w:pPr>
        <w:spacing w:line="440" w:lineRule="exact"/>
        <w:ind w:firstLine="480" w:firstLineChars="200"/>
        <w:rPr>
          <w:rFonts w:ascii="宋体" w:hAnsi="宋体" w:eastAsia="宋体" w:cs="宋体"/>
          <w:sz w:val="24"/>
        </w:rPr>
      </w:pPr>
    </w:p>
    <w:p w14:paraId="34144AFA">
      <w:pPr>
        <w:spacing w:line="440" w:lineRule="exact"/>
        <w:ind w:firstLine="480" w:firstLineChars="200"/>
        <w:rPr>
          <w:rFonts w:ascii="宋体" w:hAnsi="宋体" w:eastAsia="宋体" w:cs="宋体"/>
          <w:sz w:val="24"/>
        </w:rPr>
      </w:pPr>
      <w:r>
        <w:rPr>
          <w:rFonts w:hint="eastAsia" w:ascii="宋体" w:hAnsi="宋体" w:eastAsia="宋体" w:cs="宋体"/>
          <w:sz w:val="24"/>
        </w:rPr>
        <w:t>若我单位承诺不实，自愿承担提供虚假材料谋取中标、成交的法律责任。</w:t>
      </w:r>
    </w:p>
    <w:p w14:paraId="098D2F24">
      <w:pPr>
        <w:spacing w:line="440" w:lineRule="exact"/>
        <w:ind w:firstLine="480" w:firstLineChars="200"/>
        <w:rPr>
          <w:rFonts w:ascii="宋体" w:hAnsi="宋体" w:eastAsia="宋体" w:cs="宋体"/>
          <w:sz w:val="24"/>
        </w:rPr>
      </w:pPr>
    </w:p>
    <w:p w14:paraId="08563526">
      <w:pPr>
        <w:spacing w:line="440" w:lineRule="exact"/>
        <w:ind w:firstLine="480" w:firstLineChars="200"/>
        <w:rPr>
          <w:rFonts w:ascii="宋体" w:hAnsi="宋体" w:eastAsia="宋体" w:cs="宋体"/>
          <w:sz w:val="24"/>
        </w:rPr>
      </w:pPr>
    </w:p>
    <w:p w14:paraId="6E41A7B4">
      <w:pPr>
        <w:spacing w:line="440" w:lineRule="exact"/>
        <w:ind w:firstLine="480" w:firstLineChars="200"/>
        <w:rPr>
          <w:rFonts w:ascii="宋体" w:hAnsi="宋体" w:eastAsia="宋体" w:cs="宋体"/>
          <w:sz w:val="24"/>
        </w:rPr>
      </w:pPr>
      <w:r>
        <w:rPr>
          <w:rFonts w:hint="eastAsia" w:ascii="宋体" w:hAnsi="宋体" w:eastAsia="宋体" w:cs="宋体"/>
          <w:sz w:val="24"/>
        </w:rPr>
        <w:t xml:space="preserve">投标（响应）供应商（全称并盖章）： </w:t>
      </w:r>
      <w:r>
        <w:rPr>
          <w:rFonts w:hint="eastAsia" w:ascii="宋体" w:hAnsi="宋体" w:eastAsia="宋体" w:cs="宋体"/>
          <w:sz w:val="24"/>
        </w:rPr>
        <w:tab/>
      </w:r>
    </w:p>
    <w:p w14:paraId="67CB875E">
      <w:pPr>
        <w:spacing w:line="440" w:lineRule="exact"/>
        <w:ind w:firstLine="480" w:firstLineChars="200"/>
        <w:rPr>
          <w:rFonts w:ascii="宋体" w:hAnsi="宋体" w:eastAsia="宋体" w:cs="宋体"/>
          <w:sz w:val="24"/>
        </w:rPr>
      </w:pPr>
      <w:r>
        <w:rPr>
          <w:rFonts w:hint="eastAsia" w:ascii="宋体" w:hAnsi="宋体" w:eastAsia="宋体" w:cs="宋体"/>
          <w:sz w:val="24"/>
        </w:rPr>
        <w:t xml:space="preserve">法定代表人或授权代表（签字或签章）： </w:t>
      </w:r>
      <w:r>
        <w:rPr>
          <w:rFonts w:hint="eastAsia" w:ascii="宋体" w:hAnsi="宋体" w:eastAsia="宋体" w:cs="宋体"/>
          <w:sz w:val="24"/>
        </w:rPr>
        <w:tab/>
      </w:r>
    </w:p>
    <w:p w14:paraId="06151F68">
      <w:pPr>
        <w:spacing w:line="440" w:lineRule="exact"/>
        <w:ind w:firstLine="480" w:firstLineChars="200"/>
        <w:rPr>
          <w:rFonts w:ascii="宋体" w:hAnsi="宋体" w:eastAsia="宋体" w:cs="宋体"/>
          <w:sz w:val="24"/>
        </w:rPr>
      </w:pPr>
      <w:r>
        <w:rPr>
          <w:rFonts w:hint="eastAsia" w:ascii="宋体" w:hAnsi="宋体" w:eastAsia="宋体" w:cs="宋体"/>
          <w:sz w:val="24"/>
        </w:rPr>
        <w:t xml:space="preserve">日期： </w:t>
      </w:r>
      <w:r>
        <w:rPr>
          <w:rFonts w:hint="eastAsia" w:ascii="宋体" w:hAnsi="宋体" w:eastAsia="宋体" w:cs="宋体"/>
          <w:sz w:val="24"/>
        </w:rPr>
        <w:tab/>
      </w:r>
    </w:p>
    <w:p w14:paraId="73628EBA">
      <w:pPr>
        <w:spacing w:line="440" w:lineRule="exact"/>
        <w:ind w:firstLine="480" w:firstLineChars="200"/>
        <w:rPr>
          <w:rFonts w:ascii="宋体" w:hAnsi="宋体" w:eastAsia="宋体" w:cs="宋体"/>
          <w:sz w:val="24"/>
        </w:rPr>
      </w:pPr>
      <w:r>
        <w:rPr>
          <w:rFonts w:hint="eastAsia" w:ascii="宋体" w:hAnsi="宋体" w:eastAsia="宋体" w:cs="宋体"/>
          <w:sz w:val="24"/>
        </w:rPr>
        <w:t>﹍﹍﹍﹍﹍﹍﹍﹍﹍﹍﹍﹍﹍﹍﹍﹍﹍﹍﹍﹍﹍﹍﹍﹍</w:t>
      </w:r>
    </w:p>
    <w:p w14:paraId="270A6D62">
      <w:pPr>
        <w:spacing w:line="440" w:lineRule="exact"/>
        <w:ind w:firstLine="480" w:firstLineChars="200"/>
        <w:rPr>
          <w:rFonts w:ascii="宋体" w:hAnsi="宋体" w:eastAsia="宋体" w:cs="宋体"/>
          <w:sz w:val="24"/>
        </w:rPr>
      </w:pPr>
      <w:r>
        <w:rPr>
          <w:rFonts w:hint="eastAsia" w:ascii="宋体" w:hAnsi="宋体" w:eastAsia="宋体" w:cs="宋体"/>
          <w:sz w:val="24"/>
        </w:rPr>
        <w:t>说明：1.供应商可自行选择是否提供本承诺函，若不提供本承诺函的，应按采购文件要求提供相应的证明材料。</w:t>
      </w:r>
    </w:p>
    <w:p w14:paraId="56130D29">
      <w:pPr>
        <w:spacing w:line="440" w:lineRule="exact"/>
        <w:ind w:firstLine="480" w:firstLineChars="200"/>
        <w:rPr>
          <w:rFonts w:ascii="宋体" w:hAnsi="宋体" w:eastAsia="宋体" w:cs="宋体"/>
          <w:sz w:val="24"/>
        </w:rPr>
      </w:pPr>
      <w:r>
        <w:rPr>
          <w:rFonts w:hint="eastAsia" w:ascii="宋体" w:hAnsi="宋体" w:eastAsia="宋体" w:cs="宋体"/>
          <w:sz w:val="24"/>
        </w:rPr>
        <w:t>2.供应商可删减承诺事项，删减的承诺事项须按采购文件要求提供相</w:t>
      </w:r>
    </w:p>
    <w:p w14:paraId="33ECBF74">
      <w:pPr>
        <w:spacing w:line="440" w:lineRule="exact"/>
        <w:ind w:firstLine="480" w:firstLineChars="200"/>
        <w:rPr>
          <w:rFonts w:hint="eastAsia" w:ascii="宋体" w:hAnsi="宋体" w:eastAsia="宋体" w:cs="宋体"/>
          <w:sz w:val="24"/>
        </w:rPr>
      </w:pPr>
      <w:r>
        <w:rPr>
          <w:rFonts w:hint="eastAsia" w:ascii="宋体" w:hAnsi="宋体" w:eastAsia="宋体" w:cs="宋体"/>
          <w:sz w:val="24"/>
        </w:rPr>
        <w:t>应的证明材料。比如删去本承诺函第 4 项的，则应按采购文件要求提供依法缴纳税收和社会保障资金的良好记录。</w:t>
      </w:r>
    </w:p>
    <w:p w14:paraId="2C6B11E0">
      <w:pPr>
        <w:pStyle w:val="15"/>
        <w:rPr>
          <w:rFonts w:hint="eastAsia" w:ascii="宋体" w:hAnsi="宋体" w:eastAsia="宋体" w:cs="宋体"/>
          <w:sz w:val="24"/>
        </w:rPr>
      </w:pPr>
    </w:p>
    <w:p w14:paraId="5A070901">
      <w:pPr>
        <w:pStyle w:val="15"/>
        <w:rPr>
          <w:rFonts w:hint="eastAsia" w:ascii="宋体" w:hAnsi="宋体" w:eastAsia="宋体" w:cs="宋体"/>
          <w:sz w:val="24"/>
        </w:rPr>
      </w:pPr>
    </w:p>
    <w:p w14:paraId="267D3B59">
      <w:pPr>
        <w:pStyle w:val="15"/>
        <w:rPr>
          <w:rFonts w:hint="eastAsia" w:ascii="宋体" w:hAnsi="宋体" w:eastAsia="宋体" w:cs="宋体"/>
          <w:sz w:val="24"/>
        </w:rPr>
      </w:pPr>
    </w:p>
    <w:p w14:paraId="283E12A2">
      <w:pPr>
        <w:pStyle w:val="15"/>
        <w:rPr>
          <w:rFonts w:hint="eastAsia" w:ascii="宋体" w:hAnsi="宋体" w:eastAsia="宋体" w:cs="宋体"/>
          <w:sz w:val="24"/>
        </w:rPr>
      </w:pPr>
    </w:p>
    <w:p w14:paraId="6C5A6DBB">
      <w:pPr>
        <w:pStyle w:val="15"/>
        <w:rPr>
          <w:rFonts w:hint="eastAsia" w:ascii="宋体" w:hAnsi="宋体" w:eastAsia="宋体" w:cs="宋体"/>
          <w:sz w:val="24"/>
        </w:rPr>
      </w:pPr>
    </w:p>
    <w:p w14:paraId="13FAEAC7">
      <w:pPr>
        <w:pStyle w:val="15"/>
        <w:rPr>
          <w:rFonts w:hint="eastAsia" w:ascii="宋体" w:hAnsi="宋体" w:eastAsia="宋体" w:cs="宋体"/>
          <w:sz w:val="24"/>
        </w:rPr>
      </w:pPr>
    </w:p>
    <w:p w14:paraId="7C5DCD3A">
      <w:pPr>
        <w:pStyle w:val="15"/>
        <w:rPr>
          <w:rFonts w:hint="eastAsia" w:ascii="宋体" w:hAnsi="宋体" w:eastAsia="宋体" w:cs="宋体"/>
          <w:sz w:val="24"/>
        </w:rPr>
      </w:pPr>
    </w:p>
    <w:p w14:paraId="57019E6C">
      <w:pPr>
        <w:pStyle w:val="15"/>
        <w:rPr>
          <w:rFonts w:hint="eastAsia" w:ascii="宋体" w:hAnsi="宋体" w:eastAsia="宋体" w:cs="宋体"/>
          <w:sz w:val="24"/>
        </w:rPr>
      </w:pPr>
    </w:p>
    <w:p w14:paraId="1F9EDE97">
      <w:pPr>
        <w:pStyle w:val="21"/>
        <w:spacing w:before="99"/>
        <w:rPr>
          <w:rFonts w:ascii="宋体" w:hAnsi="宋体" w:eastAsia="宋体" w:cs="MS Gothic"/>
          <w:b/>
          <w:bCs w:val="0"/>
          <w:color w:val="auto"/>
          <w:sz w:val="22"/>
          <w:szCs w:val="22"/>
          <w:highlight w:val="none"/>
          <w:lang w:val="zh-CN"/>
        </w:rPr>
      </w:pPr>
      <w:bookmarkStart w:id="127" w:name="_Toc15682"/>
      <w:r>
        <w:rPr>
          <w:rFonts w:hint="eastAsia" w:ascii="Times New Roman" w:hAnsi="Times New Roman" w:eastAsia="宋体" w:cs="Times New Roman"/>
          <w:sz w:val="28"/>
          <w:szCs w:val="28"/>
          <w:highlight w:val="none"/>
          <w:lang w:val="zh-CN"/>
        </w:rPr>
        <w:t>（</w:t>
      </w:r>
      <w:r>
        <w:rPr>
          <w:rFonts w:hint="eastAsia" w:ascii="Times New Roman" w:hAnsi="Times New Roman" w:eastAsia="宋体" w:cs="Times New Roman"/>
          <w:sz w:val="28"/>
          <w:szCs w:val="28"/>
          <w:highlight w:val="none"/>
          <w:lang w:val="en-US" w:eastAsia="zh-CN"/>
        </w:rPr>
        <w:t>十二</w:t>
      </w:r>
      <w:r>
        <w:rPr>
          <w:rFonts w:hint="eastAsia" w:ascii="Times New Roman" w:hAnsi="Times New Roman" w:eastAsia="宋体" w:cs="Times New Roman"/>
          <w:sz w:val="28"/>
          <w:szCs w:val="28"/>
          <w:highlight w:val="none"/>
          <w:lang w:val="zh-CN"/>
        </w:rPr>
        <w:t>）南京市政府采购供应商信用记录表暨信用承诺书</w:t>
      </w:r>
      <w:bookmarkEnd w:id="127"/>
    </w:p>
    <w:p w14:paraId="43011D92">
      <w:pPr>
        <w:ind w:firstLine="2420"/>
        <w:jc w:val="left"/>
        <w:rPr>
          <w:rFonts w:ascii="宋体" w:hAnsi="宋体" w:eastAsia="宋体" w:cs="MS Gothic"/>
          <w:bCs w:val="0"/>
          <w:color w:val="auto"/>
          <w:sz w:val="22"/>
          <w:szCs w:val="21"/>
          <w:highlight w:val="none"/>
          <w:lang w:val="zh-CN" w:bidi="zh-CN"/>
        </w:rPr>
      </w:pPr>
      <w:r>
        <w:rPr>
          <w:rFonts w:hint="eastAsia" w:ascii="宋体" w:hAnsi="宋体" w:eastAsia="宋体" w:cs="MS Gothic"/>
          <w:bCs w:val="0"/>
          <w:color w:val="auto"/>
          <w:sz w:val="22"/>
          <w:szCs w:val="21"/>
          <w:highlight w:val="none"/>
          <w:lang w:val="zh-CN" w:bidi="zh-CN"/>
        </w:rPr>
        <w:t>南京市政府采购供应商信用记录表暨信用承诺书</w:t>
      </w:r>
    </w:p>
    <w:p w14:paraId="248201A9">
      <w:pPr>
        <w:jc w:val="center"/>
        <w:rPr>
          <w:rFonts w:ascii="宋体" w:hAnsi="宋体" w:eastAsia="宋体" w:cs="MS Gothic"/>
          <w:bCs w:val="0"/>
          <w:color w:val="auto"/>
          <w:sz w:val="22"/>
          <w:szCs w:val="21"/>
          <w:highlight w:val="none"/>
          <w:lang w:val="zh-CN" w:bidi="zh-CN"/>
        </w:rPr>
      </w:pPr>
      <w:r>
        <w:rPr>
          <w:rFonts w:hint="eastAsia" w:ascii="宋体" w:hAnsi="宋体" w:eastAsia="宋体" w:cs="MS Gothic"/>
          <w:bCs w:val="0"/>
          <w:color w:val="auto"/>
          <w:sz w:val="22"/>
          <w:szCs w:val="21"/>
          <w:highlight w:val="none"/>
          <w:lang w:val="zh-CN" w:bidi="zh-CN"/>
        </w:rPr>
        <w:t>（需至“南京政府采购供应商诚信档案管理系统”在线打印）</w:t>
      </w:r>
    </w:p>
    <w:p w14:paraId="44DF123E">
      <w:pPr>
        <w:pStyle w:val="15"/>
        <w:rPr>
          <w:rFonts w:hint="eastAsia" w:ascii="宋体" w:hAnsi="宋体" w:eastAsia="宋体" w:cs="宋体"/>
          <w:sz w:val="24"/>
        </w:rPr>
        <w:sectPr>
          <w:footerReference r:id="rId15" w:type="default"/>
          <w:pgSz w:w="11906" w:h="16838"/>
          <w:pgMar w:top="1440" w:right="1242" w:bottom="1440" w:left="1242" w:header="851" w:footer="992" w:gutter="0"/>
          <w:cols w:space="425" w:num="1"/>
          <w:docGrid w:type="lines" w:linePitch="312" w:charSpace="0"/>
        </w:sectPr>
      </w:pPr>
    </w:p>
    <w:p w14:paraId="1C798BA7">
      <w:pPr>
        <w:pStyle w:val="4"/>
        <w:spacing w:line="360" w:lineRule="auto"/>
        <w:jc w:val="center"/>
      </w:pPr>
      <w:bookmarkStart w:id="128" w:name="_Toc16460"/>
      <w:r>
        <w:rPr>
          <w:rFonts w:hint="eastAsia"/>
        </w:rPr>
        <w:t>二、技术部分</w:t>
      </w:r>
      <w:bookmarkEnd w:id="128"/>
    </w:p>
    <w:p w14:paraId="2D651B8B">
      <w:pPr>
        <w:pStyle w:val="6"/>
        <w:ind w:firstLine="0"/>
      </w:pPr>
    </w:p>
    <w:p w14:paraId="7C363FE5">
      <w:pPr>
        <w:pStyle w:val="6"/>
      </w:pPr>
    </w:p>
    <w:p w14:paraId="4A5ABAD6">
      <w:pPr>
        <w:pStyle w:val="6"/>
        <w:ind w:firstLine="3885" w:firstLineChars="1850"/>
        <w:sectPr>
          <w:headerReference r:id="rId16" w:type="default"/>
          <w:footerReference r:id="rId17" w:type="default"/>
          <w:pgSz w:w="11906" w:h="16838"/>
          <w:pgMar w:top="1440" w:right="1242" w:bottom="1440" w:left="1242" w:header="851" w:footer="992" w:gutter="0"/>
          <w:cols w:space="425" w:num="1"/>
          <w:docGrid w:type="lines" w:linePitch="312" w:charSpace="0"/>
        </w:sectPr>
      </w:pPr>
      <w:r>
        <w:rPr>
          <w:rFonts w:hint="eastAsia"/>
        </w:rPr>
        <w:t>（一）技术方案</w:t>
      </w:r>
    </w:p>
    <w:p w14:paraId="5A0857A1">
      <w:pPr>
        <w:pStyle w:val="4"/>
        <w:spacing w:line="360" w:lineRule="auto"/>
        <w:jc w:val="center"/>
      </w:pPr>
      <w:bookmarkStart w:id="129" w:name="_Toc5711"/>
      <w:r>
        <w:rPr>
          <w:rFonts w:hint="eastAsia"/>
        </w:rPr>
        <w:t>三、商务部分</w:t>
      </w:r>
      <w:bookmarkEnd w:id="129"/>
    </w:p>
    <w:p w14:paraId="0D16A3A4">
      <w:pPr>
        <w:pStyle w:val="4"/>
        <w:sectPr>
          <w:pgSz w:w="11906" w:h="16838"/>
          <w:pgMar w:top="1440" w:right="1242" w:bottom="1440" w:left="1242" w:header="851" w:footer="992" w:gutter="0"/>
          <w:cols w:space="425" w:num="1"/>
          <w:docGrid w:type="lines" w:linePitch="312" w:charSpace="0"/>
        </w:sectPr>
      </w:pPr>
    </w:p>
    <w:p w14:paraId="3890907D">
      <w:pPr>
        <w:numPr>
          <w:ilvl w:val="0"/>
          <w:numId w:val="2"/>
        </w:numPr>
        <w:jc w:val="center"/>
        <w:outlineLvl w:val="2"/>
        <w:rPr>
          <w:rFonts w:ascii="Times New Roman" w:hAnsi="Times New Roman" w:eastAsia="宋体" w:cs="Times New Roman"/>
          <w:sz w:val="28"/>
          <w:szCs w:val="28"/>
        </w:rPr>
      </w:pPr>
      <w:bookmarkStart w:id="130" w:name="_Toc24464"/>
      <w:r>
        <w:rPr>
          <w:rFonts w:hint="eastAsia" w:ascii="Times New Roman" w:hAnsi="Times New Roman" w:eastAsia="宋体" w:cs="Times New Roman"/>
          <w:sz w:val="28"/>
          <w:szCs w:val="28"/>
        </w:rPr>
        <w:t>供应商能力</w:t>
      </w:r>
      <w:bookmarkEnd w:id="130"/>
    </w:p>
    <w:p w14:paraId="1D03D0F2">
      <w:pPr>
        <w:pStyle w:val="6"/>
        <w:ind w:firstLine="0"/>
        <w:jc w:val="center"/>
        <w:rPr>
          <w:sz w:val="24"/>
          <w:szCs w:val="24"/>
        </w:rPr>
        <w:sectPr>
          <w:pgSz w:w="11906" w:h="16838"/>
          <w:pgMar w:top="1440" w:right="1242" w:bottom="1440" w:left="1242" w:header="851" w:footer="992" w:gutter="0"/>
          <w:cols w:space="425" w:num="1"/>
          <w:docGrid w:type="lines" w:linePitch="312" w:charSpace="0"/>
        </w:sectPr>
      </w:pPr>
      <w:r>
        <w:rPr>
          <w:rFonts w:hint="eastAsia"/>
          <w:sz w:val="24"/>
          <w:szCs w:val="24"/>
        </w:rPr>
        <w:t>1.供应商能力</w:t>
      </w:r>
    </w:p>
    <w:p w14:paraId="36739CF8">
      <w:pPr>
        <w:numPr>
          <w:ilvl w:val="0"/>
          <w:numId w:val="2"/>
        </w:numPr>
        <w:jc w:val="center"/>
        <w:outlineLvl w:val="2"/>
        <w:rPr>
          <w:rFonts w:ascii="Times New Roman" w:hAnsi="Times New Roman" w:eastAsia="宋体" w:cs="Times New Roman"/>
          <w:sz w:val="28"/>
          <w:szCs w:val="28"/>
        </w:rPr>
      </w:pPr>
      <w:bookmarkStart w:id="131" w:name="_Toc10209"/>
      <w:r>
        <w:rPr>
          <w:rFonts w:hint="eastAsia" w:ascii="Times New Roman" w:hAnsi="Times New Roman" w:eastAsia="宋体" w:cs="Times New Roman"/>
          <w:sz w:val="28"/>
          <w:szCs w:val="28"/>
        </w:rPr>
        <w:t>经验</w:t>
      </w:r>
      <w:bookmarkEnd w:id="131"/>
    </w:p>
    <w:p w14:paraId="0C59B3C2">
      <w:pPr>
        <w:pStyle w:val="6"/>
        <w:ind w:firstLine="0"/>
        <w:jc w:val="center"/>
        <w:rPr>
          <w:sz w:val="24"/>
          <w:szCs w:val="24"/>
        </w:rPr>
        <w:sectPr>
          <w:pgSz w:w="11906" w:h="16838"/>
          <w:pgMar w:top="1440" w:right="1242" w:bottom="1440" w:left="1242" w:header="851" w:footer="992" w:gutter="0"/>
          <w:cols w:space="425" w:num="1"/>
          <w:docGrid w:type="lines" w:linePitch="312" w:charSpace="0"/>
        </w:sectPr>
      </w:pPr>
      <w:r>
        <w:rPr>
          <w:rFonts w:hint="eastAsia"/>
          <w:sz w:val="24"/>
          <w:szCs w:val="24"/>
        </w:rPr>
        <w:t>2.经验</w:t>
      </w:r>
    </w:p>
    <w:p w14:paraId="764B1700">
      <w:pPr>
        <w:pStyle w:val="22"/>
        <w:jc w:val="center"/>
        <w:outlineLvl w:val="2"/>
        <w:rPr>
          <w:rFonts w:ascii="宋体" w:hAnsi="宋体" w:eastAsia="宋体" w:cs="宋体"/>
          <w:color w:val="000000" w:themeColor="text1"/>
          <w:sz w:val="28"/>
          <w14:textFill>
            <w14:solidFill>
              <w14:schemeClr w14:val="tx1"/>
            </w14:solidFill>
          </w14:textFill>
        </w:rPr>
      </w:pPr>
      <w:bookmarkStart w:id="132" w:name="_Toc2111"/>
    </w:p>
    <w:p w14:paraId="39BE4A6B">
      <w:pPr>
        <w:pStyle w:val="22"/>
        <w:jc w:val="center"/>
        <w:outlineLvl w:val="2"/>
        <w:rPr>
          <w:rFonts w:ascii="宋体" w:hAnsi="宋体" w:eastAsia="宋体" w:cs="宋体"/>
          <w:color w:val="000000" w:themeColor="text1"/>
          <w:sz w:val="28"/>
          <w14:textFill>
            <w14:solidFill>
              <w14:schemeClr w14:val="tx1"/>
            </w14:solidFill>
          </w14:textFill>
        </w:rPr>
      </w:pPr>
    </w:p>
    <w:p w14:paraId="5439C89B">
      <w:pPr>
        <w:pStyle w:val="22"/>
        <w:jc w:val="center"/>
        <w:outlineLvl w:val="2"/>
        <w:rPr>
          <w:rFonts w:ascii="宋体" w:hAnsi="宋体" w:eastAsia="宋体" w:cs="宋体"/>
          <w:color w:val="000000" w:themeColor="text1"/>
          <w:sz w:val="28"/>
          <w14:textFill>
            <w14:solidFill>
              <w14:schemeClr w14:val="tx1"/>
            </w14:solidFill>
          </w14:textFill>
        </w:rPr>
      </w:pPr>
    </w:p>
    <w:p w14:paraId="3C9E0A96">
      <w:pPr>
        <w:pStyle w:val="22"/>
        <w:jc w:val="center"/>
        <w:outlineLvl w:val="2"/>
        <w:rPr>
          <w:rFonts w:ascii="宋体" w:hAnsi="宋体" w:eastAsia="宋体"/>
          <w:color w:val="000000" w:themeColor="text1"/>
          <w14:textFill>
            <w14:solidFill>
              <w14:schemeClr w14:val="tx1"/>
            </w14:solidFill>
          </w14:textFill>
        </w:rPr>
      </w:pPr>
      <w:bookmarkStart w:id="133" w:name="_Toc4317"/>
      <w:r>
        <w:rPr>
          <w:rFonts w:hint="eastAsia" w:ascii="宋体" w:hAnsi="宋体" w:eastAsia="宋体" w:cs="宋体"/>
          <w:color w:val="000000" w:themeColor="text1"/>
          <w:sz w:val="28"/>
          <w14:textFill>
            <w14:solidFill>
              <w14:schemeClr w14:val="tx1"/>
            </w14:solidFill>
          </w14:textFill>
        </w:rPr>
        <w:t>(三)</w:t>
      </w:r>
      <w:r>
        <w:rPr>
          <w:rFonts w:hint="eastAsia" w:ascii="宋体" w:hAnsi="宋体" w:eastAsia="宋体" w:cs="宋体"/>
          <w:color w:val="000000" w:themeColor="text1"/>
          <w:sz w:val="28"/>
          <w:lang w:val="en-US" w:eastAsia="zh-CN"/>
          <w14:textFill>
            <w14:solidFill>
              <w14:schemeClr w14:val="tx1"/>
            </w14:solidFill>
          </w14:textFill>
        </w:rPr>
        <w:t>项目负责人</w:t>
      </w:r>
      <w:r>
        <w:rPr>
          <w:rFonts w:hint="eastAsia" w:ascii="宋体" w:hAnsi="宋体" w:eastAsia="宋体" w:cs="宋体"/>
          <w:color w:val="000000" w:themeColor="text1"/>
          <w:sz w:val="28"/>
          <w14:textFill>
            <w14:solidFill>
              <w14:schemeClr w14:val="tx1"/>
            </w14:solidFill>
          </w14:textFill>
        </w:rPr>
        <w:t>能力</w:t>
      </w:r>
      <w:bookmarkEnd w:id="132"/>
      <w:bookmarkEnd w:id="133"/>
    </w:p>
    <w:p w14:paraId="1608E600">
      <w:pPr>
        <w:pStyle w:val="23"/>
        <w:rPr>
          <w:rFonts w:ascii="宋体" w:hAnsi="宋体"/>
          <w:color w:val="000000" w:themeColor="text1"/>
          <w14:textFill>
            <w14:solidFill>
              <w14:schemeClr w14:val="tx1"/>
            </w14:solidFill>
          </w14:textFill>
        </w:rPr>
      </w:pPr>
    </w:p>
    <w:p w14:paraId="1E5A7D90">
      <w:pPr>
        <w:pStyle w:val="24"/>
        <w:jc w:val="center"/>
        <w:outlineLvl w:val="2"/>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br w:type="page"/>
      </w:r>
      <w:bookmarkStart w:id="134" w:name="_Toc14893"/>
    </w:p>
    <w:p w14:paraId="7463FCB5">
      <w:pPr>
        <w:pStyle w:val="24"/>
        <w:jc w:val="center"/>
        <w:outlineLvl w:val="2"/>
        <w:rPr>
          <w:rFonts w:ascii="宋体" w:hAnsi="宋体"/>
          <w:color w:val="000000" w:themeColor="text1"/>
          <w14:textFill>
            <w14:solidFill>
              <w14:schemeClr w14:val="tx1"/>
            </w14:solidFill>
          </w14:textFill>
        </w:rPr>
      </w:pPr>
    </w:p>
    <w:p w14:paraId="3AE294BB">
      <w:pPr>
        <w:pStyle w:val="24"/>
        <w:jc w:val="center"/>
        <w:outlineLvl w:val="2"/>
        <w:rPr>
          <w:rFonts w:ascii="宋体" w:hAnsi="宋体"/>
          <w:color w:val="000000" w:themeColor="text1"/>
          <w14:textFill>
            <w14:solidFill>
              <w14:schemeClr w14:val="tx1"/>
            </w14:solidFill>
          </w14:textFill>
        </w:rPr>
      </w:pPr>
    </w:p>
    <w:p w14:paraId="21708FD8">
      <w:pPr>
        <w:pStyle w:val="24"/>
        <w:jc w:val="center"/>
        <w:outlineLvl w:val="2"/>
        <w:rPr>
          <w:rFonts w:ascii="宋体" w:hAnsi="宋体"/>
          <w:color w:val="000000" w:themeColor="text1"/>
          <w14:textFill>
            <w14:solidFill>
              <w14:schemeClr w14:val="tx1"/>
            </w14:solidFill>
          </w14:textFill>
        </w:rPr>
      </w:pPr>
    </w:p>
    <w:p w14:paraId="47D1C510">
      <w:pPr>
        <w:pStyle w:val="24"/>
        <w:jc w:val="center"/>
        <w:outlineLvl w:val="2"/>
        <w:rPr>
          <w:rFonts w:ascii="宋体" w:hAnsi="宋体" w:eastAsia="宋体" w:cs="宋体"/>
          <w:color w:val="000000" w:themeColor="text1"/>
          <w:sz w:val="28"/>
          <w14:textFill>
            <w14:solidFill>
              <w14:schemeClr w14:val="tx1"/>
            </w14:solidFill>
          </w14:textFill>
        </w:rPr>
      </w:pPr>
    </w:p>
    <w:p w14:paraId="51ACE22D">
      <w:pPr>
        <w:pStyle w:val="24"/>
        <w:jc w:val="center"/>
        <w:outlineLvl w:val="2"/>
        <w:rPr>
          <w:rFonts w:ascii="宋体" w:hAnsi="宋体" w:eastAsia="宋体"/>
          <w:color w:val="000000" w:themeColor="text1"/>
          <w14:textFill>
            <w14:solidFill>
              <w14:schemeClr w14:val="tx1"/>
            </w14:solidFill>
          </w14:textFill>
        </w:rPr>
      </w:pPr>
      <w:bookmarkStart w:id="135" w:name="_Toc17807"/>
      <w:r>
        <w:rPr>
          <w:rFonts w:hint="eastAsia" w:ascii="宋体" w:hAnsi="宋体" w:eastAsia="宋体" w:cs="宋体"/>
          <w:color w:val="000000" w:themeColor="text1"/>
          <w:sz w:val="28"/>
          <w14:textFill>
            <w14:solidFill>
              <w14:schemeClr w14:val="tx1"/>
            </w14:solidFill>
          </w14:textFill>
        </w:rPr>
        <w:t>(四)项目组成员</w:t>
      </w:r>
      <w:bookmarkEnd w:id="134"/>
      <w:bookmarkEnd w:id="135"/>
    </w:p>
    <w:tbl>
      <w:tblPr>
        <w:tblStyle w:val="1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7"/>
        <w:gridCol w:w="922"/>
        <w:gridCol w:w="1578"/>
        <w:gridCol w:w="1446"/>
        <w:gridCol w:w="1974"/>
        <w:gridCol w:w="1972"/>
        <w:gridCol w:w="918"/>
      </w:tblGrid>
      <w:tr w14:paraId="7C06C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413" w:type="dxa"/>
            <w:tcBorders>
              <w:top w:val="single" w:color="000000" w:sz="4" w:space="0"/>
              <w:left w:val="single" w:color="000000" w:sz="4" w:space="0"/>
              <w:bottom w:val="single" w:color="000000" w:sz="4" w:space="0"/>
              <w:right w:val="single" w:color="000000" w:sz="4" w:space="0"/>
            </w:tcBorders>
          </w:tcPr>
          <w:p w14:paraId="706DB388">
            <w:pPr>
              <w:pStyle w:val="25"/>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序号</w:t>
            </w:r>
          </w:p>
        </w:tc>
        <w:tc>
          <w:tcPr>
            <w:tcW w:w="480" w:type="dxa"/>
            <w:tcBorders>
              <w:top w:val="single" w:color="000000" w:sz="4" w:space="0"/>
              <w:left w:val="single" w:color="000000" w:sz="4" w:space="0"/>
              <w:bottom w:val="single" w:color="000000" w:sz="4" w:space="0"/>
              <w:right w:val="single" w:color="000000" w:sz="4" w:space="0"/>
            </w:tcBorders>
          </w:tcPr>
          <w:p w14:paraId="3B8D6AC8">
            <w:pPr>
              <w:pStyle w:val="25"/>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姓名</w:t>
            </w:r>
          </w:p>
        </w:tc>
        <w:tc>
          <w:tcPr>
            <w:tcW w:w="822" w:type="dxa"/>
            <w:tcBorders>
              <w:top w:val="single" w:color="000000" w:sz="4" w:space="0"/>
              <w:left w:val="single" w:color="000000" w:sz="4" w:space="0"/>
              <w:bottom w:val="single" w:color="000000" w:sz="4" w:space="0"/>
              <w:right w:val="single" w:color="000000" w:sz="4" w:space="0"/>
            </w:tcBorders>
          </w:tcPr>
          <w:p w14:paraId="3B465698">
            <w:pPr>
              <w:pStyle w:val="25"/>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身份证号</w:t>
            </w:r>
          </w:p>
        </w:tc>
        <w:tc>
          <w:tcPr>
            <w:tcW w:w="753" w:type="dxa"/>
            <w:tcBorders>
              <w:top w:val="single" w:color="000000" w:sz="4" w:space="0"/>
              <w:left w:val="single" w:color="000000" w:sz="4" w:space="0"/>
              <w:bottom w:val="single" w:color="000000" w:sz="4" w:space="0"/>
              <w:right w:val="single" w:color="000000" w:sz="4" w:space="0"/>
            </w:tcBorders>
          </w:tcPr>
          <w:p w14:paraId="1474DA31">
            <w:pPr>
              <w:pStyle w:val="25"/>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人员类别</w:t>
            </w:r>
          </w:p>
        </w:tc>
        <w:tc>
          <w:tcPr>
            <w:tcW w:w="1028" w:type="dxa"/>
            <w:tcBorders>
              <w:top w:val="single" w:color="000000" w:sz="4" w:space="0"/>
              <w:left w:val="single" w:color="000000" w:sz="4" w:space="0"/>
              <w:bottom w:val="single" w:color="000000" w:sz="4" w:space="0"/>
              <w:right w:val="single" w:color="000000" w:sz="4" w:space="0"/>
            </w:tcBorders>
          </w:tcPr>
          <w:p w14:paraId="61E33C87">
            <w:pPr>
              <w:pStyle w:val="25"/>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技术证书、级别</w:t>
            </w:r>
          </w:p>
        </w:tc>
        <w:tc>
          <w:tcPr>
            <w:tcW w:w="1027" w:type="dxa"/>
            <w:tcBorders>
              <w:top w:val="single" w:color="000000" w:sz="4" w:space="0"/>
              <w:left w:val="single" w:color="000000" w:sz="4" w:space="0"/>
              <w:bottom w:val="single" w:color="000000" w:sz="4" w:space="0"/>
              <w:right w:val="single" w:color="000000" w:sz="4" w:space="0"/>
            </w:tcBorders>
          </w:tcPr>
          <w:p w14:paraId="6595DFC2">
            <w:pPr>
              <w:pStyle w:val="25"/>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相关工作经验</w:t>
            </w:r>
          </w:p>
        </w:tc>
        <w:tc>
          <w:tcPr>
            <w:tcW w:w="478" w:type="dxa"/>
            <w:tcBorders>
              <w:top w:val="single" w:color="000000" w:sz="4" w:space="0"/>
              <w:left w:val="single" w:color="000000" w:sz="4" w:space="0"/>
              <w:bottom w:val="single" w:color="000000" w:sz="4" w:space="0"/>
              <w:right w:val="single" w:color="000000" w:sz="4" w:space="0"/>
            </w:tcBorders>
          </w:tcPr>
          <w:p w14:paraId="41B5F1B7">
            <w:pPr>
              <w:pStyle w:val="25"/>
              <w:spacing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备注</w:t>
            </w:r>
          </w:p>
        </w:tc>
      </w:tr>
      <w:tr w14:paraId="1221E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3" w:type="dxa"/>
            <w:tcBorders>
              <w:top w:val="single" w:color="000000" w:sz="4" w:space="0"/>
              <w:left w:val="single" w:color="000000" w:sz="4" w:space="0"/>
              <w:bottom w:val="single" w:color="000000" w:sz="4" w:space="0"/>
              <w:right w:val="single" w:color="000000" w:sz="4" w:space="0"/>
            </w:tcBorders>
          </w:tcPr>
          <w:p w14:paraId="2A987CF9">
            <w:pPr>
              <w:pStyle w:val="25"/>
              <w:spacing w:line="360" w:lineRule="auto"/>
              <w:rPr>
                <w:rFonts w:ascii="宋体" w:hAnsi="宋体"/>
                <w:b/>
                <w:color w:val="000000" w:themeColor="text1"/>
                <w:sz w:val="24"/>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tcPr>
          <w:p w14:paraId="36FF36BF">
            <w:pPr>
              <w:pStyle w:val="25"/>
              <w:spacing w:line="360" w:lineRule="auto"/>
              <w:rPr>
                <w:rFonts w:ascii="宋体" w:hAnsi="宋体"/>
                <w:b/>
                <w:color w:val="000000" w:themeColor="text1"/>
                <w:sz w:val="24"/>
                <w14:textFill>
                  <w14:solidFill>
                    <w14:schemeClr w14:val="tx1"/>
                  </w14:solidFill>
                </w14:textFill>
              </w:rPr>
            </w:pPr>
          </w:p>
        </w:tc>
        <w:tc>
          <w:tcPr>
            <w:tcW w:w="822" w:type="dxa"/>
            <w:tcBorders>
              <w:top w:val="single" w:color="000000" w:sz="4" w:space="0"/>
              <w:left w:val="single" w:color="000000" w:sz="4" w:space="0"/>
              <w:bottom w:val="single" w:color="000000" w:sz="4" w:space="0"/>
              <w:right w:val="single" w:color="000000" w:sz="4" w:space="0"/>
            </w:tcBorders>
          </w:tcPr>
          <w:p w14:paraId="77E41281">
            <w:pPr>
              <w:pStyle w:val="25"/>
              <w:spacing w:line="360" w:lineRule="auto"/>
              <w:rPr>
                <w:rFonts w:ascii="宋体" w:hAnsi="宋体"/>
                <w:b/>
                <w:color w:val="000000" w:themeColor="text1"/>
                <w:sz w:val="24"/>
                <w14:textFill>
                  <w14:solidFill>
                    <w14:schemeClr w14:val="tx1"/>
                  </w14:solidFill>
                </w14:textFill>
              </w:rPr>
            </w:pPr>
          </w:p>
        </w:tc>
        <w:tc>
          <w:tcPr>
            <w:tcW w:w="753" w:type="dxa"/>
            <w:tcBorders>
              <w:top w:val="single" w:color="000000" w:sz="4" w:space="0"/>
              <w:left w:val="single" w:color="000000" w:sz="4" w:space="0"/>
              <w:bottom w:val="single" w:color="000000" w:sz="4" w:space="0"/>
              <w:right w:val="single" w:color="000000" w:sz="4" w:space="0"/>
            </w:tcBorders>
          </w:tcPr>
          <w:p w14:paraId="03A6C5E5">
            <w:pPr>
              <w:pStyle w:val="25"/>
              <w:spacing w:line="360" w:lineRule="auto"/>
              <w:rPr>
                <w:rFonts w:ascii="宋体" w:hAnsi="宋体"/>
                <w:b/>
                <w:color w:val="000000" w:themeColor="text1"/>
                <w:sz w:val="24"/>
                <w14:textFill>
                  <w14:solidFill>
                    <w14:schemeClr w14:val="tx1"/>
                  </w14:solidFill>
                </w14:textFill>
              </w:rPr>
            </w:pPr>
          </w:p>
        </w:tc>
        <w:tc>
          <w:tcPr>
            <w:tcW w:w="1028" w:type="dxa"/>
            <w:tcBorders>
              <w:top w:val="single" w:color="000000" w:sz="4" w:space="0"/>
              <w:left w:val="single" w:color="000000" w:sz="4" w:space="0"/>
              <w:bottom w:val="single" w:color="000000" w:sz="4" w:space="0"/>
              <w:right w:val="single" w:color="000000" w:sz="4" w:space="0"/>
            </w:tcBorders>
          </w:tcPr>
          <w:p w14:paraId="30028C61">
            <w:pPr>
              <w:pStyle w:val="25"/>
              <w:spacing w:line="360" w:lineRule="auto"/>
              <w:rPr>
                <w:rFonts w:ascii="宋体" w:hAnsi="宋体"/>
                <w:b/>
                <w:color w:val="000000" w:themeColor="text1"/>
                <w:sz w:val="24"/>
                <w14:textFill>
                  <w14:solidFill>
                    <w14:schemeClr w14:val="tx1"/>
                  </w14:solidFill>
                </w14:textFill>
              </w:rPr>
            </w:pPr>
          </w:p>
        </w:tc>
        <w:tc>
          <w:tcPr>
            <w:tcW w:w="1027" w:type="dxa"/>
            <w:tcBorders>
              <w:top w:val="single" w:color="000000" w:sz="4" w:space="0"/>
              <w:left w:val="single" w:color="000000" w:sz="4" w:space="0"/>
              <w:bottom w:val="single" w:color="000000" w:sz="4" w:space="0"/>
              <w:right w:val="single" w:color="000000" w:sz="4" w:space="0"/>
            </w:tcBorders>
          </w:tcPr>
          <w:p w14:paraId="6CD022D4">
            <w:pPr>
              <w:pStyle w:val="25"/>
              <w:spacing w:line="360" w:lineRule="auto"/>
              <w:rPr>
                <w:rFonts w:ascii="宋体" w:hAnsi="宋体"/>
                <w:b/>
                <w:color w:val="000000" w:themeColor="text1"/>
                <w:sz w:val="24"/>
                <w14:textFill>
                  <w14:solidFill>
                    <w14:schemeClr w14:val="tx1"/>
                  </w14:solidFill>
                </w14:textFill>
              </w:rPr>
            </w:pPr>
          </w:p>
        </w:tc>
        <w:tc>
          <w:tcPr>
            <w:tcW w:w="478" w:type="dxa"/>
            <w:tcBorders>
              <w:top w:val="single" w:color="000000" w:sz="4" w:space="0"/>
              <w:left w:val="single" w:color="000000" w:sz="4" w:space="0"/>
              <w:bottom w:val="single" w:color="000000" w:sz="4" w:space="0"/>
              <w:right w:val="single" w:color="000000" w:sz="4" w:space="0"/>
            </w:tcBorders>
          </w:tcPr>
          <w:p w14:paraId="07D504B2">
            <w:pPr>
              <w:pStyle w:val="25"/>
              <w:spacing w:line="360" w:lineRule="auto"/>
              <w:rPr>
                <w:rFonts w:ascii="宋体" w:hAnsi="宋体"/>
                <w:b/>
                <w:color w:val="000000" w:themeColor="text1"/>
                <w:sz w:val="24"/>
                <w14:textFill>
                  <w14:solidFill>
                    <w14:schemeClr w14:val="tx1"/>
                  </w14:solidFill>
                </w14:textFill>
              </w:rPr>
            </w:pPr>
          </w:p>
        </w:tc>
      </w:tr>
      <w:tr w14:paraId="478BF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3" w:type="dxa"/>
            <w:tcBorders>
              <w:top w:val="single" w:color="000000" w:sz="4" w:space="0"/>
              <w:left w:val="single" w:color="000000" w:sz="4" w:space="0"/>
              <w:bottom w:val="single" w:color="000000" w:sz="4" w:space="0"/>
              <w:right w:val="single" w:color="000000" w:sz="4" w:space="0"/>
            </w:tcBorders>
          </w:tcPr>
          <w:p w14:paraId="39A2DA6B">
            <w:pPr>
              <w:pStyle w:val="25"/>
              <w:spacing w:line="360" w:lineRule="auto"/>
              <w:rPr>
                <w:rFonts w:ascii="宋体" w:hAnsi="宋体"/>
                <w:b/>
                <w:color w:val="000000" w:themeColor="text1"/>
                <w:sz w:val="24"/>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tcPr>
          <w:p w14:paraId="37A219CE">
            <w:pPr>
              <w:pStyle w:val="25"/>
              <w:spacing w:line="360" w:lineRule="auto"/>
              <w:rPr>
                <w:rFonts w:ascii="宋体" w:hAnsi="宋体"/>
                <w:b/>
                <w:color w:val="000000" w:themeColor="text1"/>
                <w:sz w:val="24"/>
                <w14:textFill>
                  <w14:solidFill>
                    <w14:schemeClr w14:val="tx1"/>
                  </w14:solidFill>
                </w14:textFill>
              </w:rPr>
            </w:pPr>
          </w:p>
        </w:tc>
        <w:tc>
          <w:tcPr>
            <w:tcW w:w="822" w:type="dxa"/>
            <w:tcBorders>
              <w:top w:val="single" w:color="000000" w:sz="4" w:space="0"/>
              <w:left w:val="single" w:color="000000" w:sz="4" w:space="0"/>
              <w:bottom w:val="single" w:color="000000" w:sz="4" w:space="0"/>
              <w:right w:val="single" w:color="000000" w:sz="4" w:space="0"/>
            </w:tcBorders>
          </w:tcPr>
          <w:p w14:paraId="60C4D2FE">
            <w:pPr>
              <w:pStyle w:val="25"/>
              <w:spacing w:line="360" w:lineRule="auto"/>
              <w:rPr>
                <w:rFonts w:ascii="宋体" w:hAnsi="宋体"/>
                <w:b/>
                <w:color w:val="000000" w:themeColor="text1"/>
                <w:sz w:val="24"/>
                <w14:textFill>
                  <w14:solidFill>
                    <w14:schemeClr w14:val="tx1"/>
                  </w14:solidFill>
                </w14:textFill>
              </w:rPr>
            </w:pPr>
          </w:p>
        </w:tc>
        <w:tc>
          <w:tcPr>
            <w:tcW w:w="753" w:type="dxa"/>
            <w:tcBorders>
              <w:top w:val="single" w:color="000000" w:sz="4" w:space="0"/>
              <w:left w:val="single" w:color="000000" w:sz="4" w:space="0"/>
              <w:bottom w:val="single" w:color="000000" w:sz="4" w:space="0"/>
              <w:right w:val="single" w:color="000000" w:sz="4" w:space="0"/>
            </w:tcBorders>
          </w:tcPr>
          <w:p w14:paraId="79DF4E56">
            <w:pPr>
              <w:pStyle w:val="25"/>
              <w:spacing w:line="360" w:lineRule="auto"/>
              <w:rPr>
                <w:rFonts w:ascii="宋体" w:hAnsi="宋体"/>
                <w:b/>
                <w:color w:val="000000" w:themeColor="text1"/>
                <w:sz w:val="24"/>
                <w14:textFill>
                  <w14:solidFill>
                    <w14:schemeClr w14:val="tx1"/>
                  </w14:solidFill>
                </w14:textFill>
              </w:rPr>
            </w:pPr>
          </w:p>
        </w:tc>
        <w:tc>
          <w:tcPr>
            <w:tcW w:w="1028" w:type="dxa"/>
            <w:tcBorders>
              <w:top w:val="single" w:color="000000" w:sz="4" w:space="0"/>
              <w:left w:val="single" w:color="000000" w:sz="4" w:space="0"/>
              <w:bottom w:val="single" w:color="000000" w:sz="4" w:space="0"/>
              <w:right w:val="single" w:color="000000" w:sz="4" w:space="0"/>
            </w:tcBorders>
          </w:tcPr>
          <w:p w14:paraId="06CD20F2">
            <w:pPr>
              <w:pStyle w:val="25"/>
              <w:spacing w:line="360" w:lineRule="auto"/>
              <w:rPr>
                <w:rFonts w:ascii="宋体" w:hAnsi="宋体"/>
                <w:b/>
                <w:color w:val="000000" w:themeColor="text1"/>
                <w:sz w:val="24"/>
                <w14:textFill>
                  <w14:solidFill>
                    <w14:schemeClr w14:val="tx1"/>
                  </w14:solidFill>
                </w14:textFill>
              </w:rPr>
            </w:pPr>
          </w:p>
        </w:tc>
        <w:tc>
          <w:tcPr>
            <w:tcW w:w="1027" w:type="dxa"/>
            <w:tcBorders>
              <w:top w:val="single" w:color="000000" w:sz="4" w:space="0"/>
              <w:left w:val="single" w:color="000000" w:sz="4" w:space="0"/>
              <w:bottom w:val="single" w:color="000000" w:sz="4" w:space="0"/>
              <w:right w:val="single" w:color="000000" w:sz="4" w:space="0"/>
            </w:tcBorders>
          </w:tcPr>
          <w:p w14:paraId="0675A661">
            <w:pPr>
              <w:pStyle w:val="25"/>
              <w:spacing w:line="360" w:lineRule="auto"/>
              <w:rPr>
                <w:rFonts w:ascii="宋体" w:hAnsi="宋体"/>
                <w:b/>
                <w:color w:val="000000" w:themeColor="text1"/>
                <w:sz w:val="24"/>
                <w14:textFill>
                  <w14:solidFill>
                    <w14:schemeClr w14:val="tx1"/>
                  </w14:solidFill>
                </w14:textFill>
              </w:rPr>
            </w:pPr>
          </w:p>
        </w:tc>
        <w:tc>
          <w:tcPr>
            <w:tcW w:w="478" w:type="dxa"/>
            <w:tcBorders>
              <w:top w:val="single" w:color="000000" w:sz="4" w:space="0"/>
              <w:left w:val="single" w:color="000000" w:sz="4" w:space="0"/>
              <w:bottom w:val="single" w:color="000000" w:sz="4" w:space="0"/>
              <w:right w:val="single" w:color="000000" w:sz="4" w:space="0"/>
            </w:tcBorders>
          </w:tcPr>
          <w:p w14:paraId="6A7C8F22">
            <w:pPr>
              <w:pStyle w:val="25"/>
              <w:spacing w:line="360" w:lineRule="auto"/>
              <w:rPr>
                <w:rFonts w:ascii="宋体" w:hAnsi="宋体"/>
                <w:b/>
                <w:color w:val="000000" w:themeColor="text1"/>
                <w:sz w:val="24"/>
                <w14:textFill>
                  <w14:solidFill>
                    <w14:schemeClr w14:val="tx1"/>
                  </w14:solidFill>
                </w14:textFill>
              </w:rPr>
            </w:pPr>
          </w:p>
        </w:tc>
      </w:tr>
      <w:tr w14:paraId="210FD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3" w:type="dxa"/>
            <w:tcBorders>
              <w:top w:val="single" w:color="000000" w:sz="4" w:space="0"/>
              <w:left w:val="single" w:color="000000" w:sz="4" w:space="0"/>
              <w:bottom w:val="single" w:color="000000" w:sz="4" w:space="0"/>
              <w:right w:val="single" w:color="000000" w:sz="4" w:space="0"/>
            </w:tcBorders>
          </w:tcPr>
          <w:p w14:paraId="5FC9F91B">
            <w:pPr>
              <w:pStyle w:val="25"/>
              <w:spacing w:line="360" w:lineRule="auto"/>
              <w:rPr>
                <w:rFonts w:ascii="宋体" w:hAnsi="宋体"/>
                <w:b/>
                <w:color w:val="000000" w:themeColor="text1"/>
                <w:sz w:val="24"/>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tcPr>
          <w:p w14:paraId="62666523">
            <w:pPr>
              <w:pStyle w:val="25"/>
              <w:spacing w:line="360" w:lineRule="auto"/>
              <w:rPr>
                <w:rFonts w:ascii="宋体" w:hAnsi="宋体"/>
                <w:b/>
                <w:color w:val="000000" w:themeColor="text1"/>
                <w:sz w:val="24"/>
                <w14:textFill>
                  <w14:solidFill>
                    <w14:schemeClr w14:val="tx1"/>
                  </w14:solidFill>
                </w14:textFill>
              </w:rPr>
            </w:pPr>
          </w:p>
        </w:tc>
        <w:tc>
          <w:tcPr>
            <w:tcW w:w="822" w:type="dxa"/>
            <w:tcBorders>
              <w:top w:val="single" w:color="000000" w:sz="4" w:space="0"/>
              <w:left w:val="single" w:color="000000" w:sz="4" w:space="0"/>
              <w:bottom w:val="single" w:color="000000" w:sz="4" w:space="0"/>
              <w:right w:val="single" w:color="000000" w:sz="4" w:space="0"/>
            </w:tcBorders>
          </w:tcPr>
          <w:p w14:paraId="0D42D1E0">
            <w:pPr>
              <w:pStyle w:val="25"/>
              <w:spacing w:line="360" w:lineRule="auto"/>
              <w:rPr>
                <w:rFonts w:ascii="宋体" w:hAnsi="宋体"/>
                <w:b/>
                <w:color w:val="000000" w:themeColor="text1"/>
                <w:sz w:val="24"/>
                <w14:textFill>
                  <w14:solidFill>
                    <w14:schemeClr w14:val="tx1"/>
                  </w14:solidFill>
                </w14:textFill>
              </w:rPr>
            </w:pPr>
          </w:p>
        </w:tc>
        <w:tc>
          <w:tcPr>
            <w:tcW w:w="753" w:type="dxa"/>
            <w:tcBorders>
              <w:top w:val="single" w:color="000000" w:sz="4" w:space="0"/>
              <w:left w:val="single" w:color="000000" w:sz="4" w:space="0"/>
              <w:bottom w:val="single" w:color="000000" w:sz="4" w:space="0"/>
              <w:right w:val="single" w:color="000000" w:sz="4" w:space="0"/>
            </w:tcBorders>
          </w:tcPr>
          <w:p w14:paraId="577A2FE7">
            <w:pPr>
              <w:pStyle w:val="25"/>
              <w:spacing w:line="360" w:lineRule="auto"/>
              <w:rPr>
                <w:rFonts w:ascii="宋体" w:hAnsi="宋体"/>
                <w:b/>
                <w:color w:val="000000" w:themeColor="text1"/>
                <w:sz w:val="24"/>
                <w14:textFill>
                  <w14:solidFill>
                    <w14:schemeClr w14:val="tx1"/>
                  </w14:solidFill>
                </w14:textFill>
              </w:rPr>
            </w:pPr>
          </w:p>
        </w:tc>
        <w:tc>
          <w:tcPr>
            <w:tcW w:w="1028" w:type="dxa"/>
            <w:tcBorders>
              <w:top w:val="single" w:color="000000" w:sz="4" w:space="0"/>
              <w:left w:val="single" w:color="000000" w:sz="4" w:space="0"/>
              <w:bottom w:val="single" w:color="000000" w:sz="4" w:space="0"/>
              <w:right w:val="single" w:color="000000" w:sz="4" w:space="0"/>
            </w:tcBorders>
          </w:tcPr>
          <w:p w14:paraId="058C8D3C">
            <w:pPr>
              <w:pStyle w:val="25"/>
              <w:spacing w:line="360" w:lineRule="auto"/>
              <w:rPr>
                <w:rFonts w:ascii="宋体" w:hAnsi="宋体"/>
                <w:b/>
                <w:color w:val="000000" w:themeColor="text1"/>
                <w:sz w:val="24"/>
                <w14:textFill>
                  <w14:solidFill>
                    <w14:schemeClr w14:val="tx1"/>
                  </w14:solidFill>
                </w14:textFill>
              </w:rPr>
            </w:pPr>
          </w:p>
        </w:tc>
        <w:tc>
          <w:tcPr>
            <w:tcW w:w="1027" w:type="dxa"/>
            <w:tcBorders>
              <w:top w:val="single" w:color="000000" w:sz="4" w:space="0"/>
              <w:left w:val="single" w:color="000000" w:sz="4" w:space="0"/>
              <w:bottom w:val="single" w:color="000000" w:sz="4" w:space="0"/>
              <w:right w:val="single" w:color="000000" w:sz="4" w:space="0"/>
            </w:tcBorders>
          </w:tcPr>
          <w:p w14:paraId="7C12E1E1">
            <w:pPr>
              <w:pStyle w:val="25"/>
              <w:spacing w:line="360" w:lineRule="auto"/>
              <w:rPr>
                <w:rFonts w:ascii="宋体" w:hAnsi="宋体"/>
                <w:b/>
                <w:color w:val="000000" w:themeColor="text1"/>
                <w:sz w:val="24"/>
                <w14:textFill>
                  <w14:solidFill>
                    <w14:schemeClr w14:val="tx1"/>
                  </w14:solidFill>
                </w14:textFill>
              </w:rPr>
            </w:pPr>
          </w:p>
        </w:tc>
        <w:tc>
          <w:tcPr>
            <w:tcW w:w="478" w:type="dxa"/>
            <w:tcBorders>
              <w:top w:val="single" w:color="000000" w:sz="4" w:space="0"/>
              <w:left w:val="single" w:color="000000" w:sz="4" w:space="0"/>
              <w:bottom w:val="single" w:color="000000" w:sz="4" w:space="0"/>
              <w:right w:val="single" w:color="000000" w:sz="4" w:space="0"/>
            </w:tcBorders>
          </w:tcPr>
          <w:p w14:paraId="7B705F95">
            <w:pPr>
              <w:pStyle w:val="25"/>
              <w:spacing w:line="360" w:lineRule="auto"/>
              <w:rPr>
                <w:rFonts w:ascii="宋体" w:hAnsi="宋体"/>
                <w:b/>
                <w:color w:val="000000" w:themeColor="text1"/>
                <w:sz w:val="24"/>
                <w14:textFill>
                  <w14:solidFill>
                    <w14:schemeClr w14:val="tx1"/>
                  </w14:solidFill>
                </w14:textFill>
              </w:rPr>
            </w:pPr>
          </w:p>
        </w:tc>
      </w:tr>
      <w:tr w14:paraId="4515B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3" w:type="dxa"/>
            <w:tcBorders>
              <w:top w:val="single" w:color="000000" w:sz="4" w:space="0"/>
              <w:left w:val="single" w:color="000000" w:sz="4" w:space="0"/>
              <w:bottom w:val="single" w:color="000000" w:sz="4" w:space="0"/>
              <w:right w:val="single" w:color="000000" w:sz="4" w:space="0"/>
            </w:tcBorders>
          </w:tcPr>
          <w:p w14:paraId="77E72812">
            <w:pPr>
              <w:pStyle w:val="25"/>
              <w:spacing w:line="360" w:lineRule="auto"/>
              <w:rPr>
                <w:rFonts w:ascii="宋体" w:hAnsi="宋体"/>
                <w:b/>
                <w:color w:val="000000" w:themeColor="text1"/>
                <w:sz w:val="18"/>
                <w:szCs w:val="18"/>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tcPr>
          <w:p w14:paraId="79F9362B">
            <w:pPr>
              <w:pStyle w:val="25"/>
              <w:spacing w:line="360" w:lineRule="auto"/>
              <w:rPr>
                <w:rFonts w:ascii="宋体" w:hAnsi="宋体"/>
                <w:b/>
                <w:color w:val="000000" w:themeColor="text1"/>
                <w:sz w:val="24"/>
                <w14:textFill>
                  <w14:solidFill>
                    <w14:schemeClr w14:val="tx1"/>
                  </w14:solidFill>
                </w14:textFill>
              </w:rPr>
            </w:pPr>
          </w:p>
        </w:tc>
        <w:tc>
          <w:tcPr>
            <w:tcW w:w="822" w:type="dxa"/>
            <w:tcBorders>
              <w:top w:val="single" w:color="000000" w:sz="4" w:space="0"/>
              <w:left w:val="single" w:color="000000" w:sz="4" w:space="0"/>
              <w:bottom w:val="single" w:color="000000" w:sz="4" w:space="0"/>
              <w:right w:val="single" w:color="000000" w:sz="4" w:space="0"/>
            </w:tcBorders>
          </w:tcPr>
          <w:p w14:paraId="68A004BB">
            <w:pPr>
              <w:pStyle w:val="25"/>
              <w:spacing w:line="360" w:lineRule="auto"/>
              <w:rPr>
                <w:rFonts w:ascii="宋体" w:hAnsi="宋体"/>
                <w:b/>
                <w:color w:val="000000" w:themeColor="text1"/>
                <w:sz w:val="24"/>
                <w14:textFill>
                  <w14:solidFill>
                    <w14:schemeClr w14:val="tx1"/>
                  </w14:solidFill>
                </w14:textFill>
              </w:rPr>
            </w:pPr>
          </w:p>
        </w:tc>
        <w:tc>
          <w:tcPr>
            <w:tcW w:w="753" w:type="dxa"/>
            <w:tcBorders>
              <w:top w:val="single" w:color="000000" w:sz="4" w:space="0"/>
              <w:left w:val="single" w:color="000000" w:sz="4" w:space="0"/>
              <w:bottom w:val="single" w:color="000000" w:sz="4" w:space="0"/>
              <w:right w:val="single" w:color="000000" w:sz="4" w:space="0"/>
            </w:tcBorders>
          </w:tcPr>
          <w:p w14:paraId="5DE2768A">
            <w:pPr>
              <w:pStyle w:val="25"/>
              <w:spacing w:line="360" w:lineRule="auto"/>
              <w:rPr>
                <w:rFonts w:ascii="宋体" w:hAnsi="宋体"/>
                <w:b/>
                <w:color w:val="000000" w:themeColor="text1"/>
                <w:sz w:val="24"/>
                <w14:textFill>
                  <w14:solidFill>
                    <w14:schemeClr w14:val="tx1"/>
                  </w14:solidFill>
                </w14:textFill>
              </w:rPr>
            </w:pPr>
          </w:p>
        </w:tc>
        <w:tc>
          <w:tcPr>
            <w:tcW w:w="1028" w:type="dxa"/>
            <w:tcBorders>
              <w:top w:val="single" w:color="000000" w:sz="4" w:space="0"/>
              <w:left w:val="single" w:color="000000" w:sz="4" w:space="0"/>
              <w:bottom w:val="single" w:color="000000" w:sz="4" w:space="0"/>
              <w:right w:val="single" w:color="000000" w:sz="4" w:space="0"/>
            </w:tcBorders>
          </w:tcPr>
          <w:p w14:paraId="53EA6898">
            <w:pPr>
              <w:pStyle w:val="25"/>
              <w:spacing w:line="360" w:lineRule="auto"/>
              <w:rPr>
                <w:rFonts w:ascii="宋体" w:hAnsi="宋体"/>
                <w:b/>
                <w:color w:val="000000" w:themeColor="text1"/>
                <w:sz w:val="24"/>
                <w14:textFill>
                  <w14:solidFill>
                    <w14:schemeClr w14:val="tx1"/>
                  </w14:solidFill>
                </w14:textFill>
              </w:rPr>
            </w:pPr>
          </w:p>
        </w:tc>
        <w:tc>
          <w:tcPr>
            <w:tcW w:w="1027" w:type="dxa"/>
            <w:tcBorders>
              <w:top w:val="single" w:color="000000" w:sz="4" w:space="0"/>
              <w:left w:val="single" w:color="000000" w:sz="4" w:space="0"/>
              <w:bottom w:val="single" w:color="000000" w:sz="4" w:space="0"/>
              <w:right w:val="single" w:color="000000" w:sz="4" w:space="0"/>
            </w:tcBorders>
          </w:tcPr>
          <w:p w14:paraId="62BB6E9A">
            <w:pPr>
              <w:pStyle w:val="25"/>
              <w:spacing w:line="360" w:lineRule="auto"/>
              <w:rPr>
                <w:rFonts w:ascii="宋体" w:hAnsi="宋体"/>
                <w:b/>
                <w:color w:val="000000" w:themeColor="text1"/>
                <w:sz w:val="24"/>
                <w14:textFill>
                  <w14:solidFill>
                    <w14:schemeClr w14:val="tx1"/>
                  </w14:solidFill>
                </w14:textFill>
              </w:rPr>
            </w:pPr>
          </w:p>
        </w:tc>
        <w:tc>
          <w:tcPr>
            <w:tcW w:w="478" w:type="dxa"/>
            <w:tcBorders>
              <w:top w:val="single" w:color="000000" w:sz="4" w:space="0"/>
              <w:left w:val="single" w:color="000000" w:sz="4" w:space="0"/>
              <w:bottom w:val="single" w:color="000000" w:sz="4" w:space="0"/>
              <w:right w:val="single" w:color="000000" w:sz="4" w:space="0"/>
            </w:tcBorders>
          </w:tcPr>
          <w:p w14:paraId="4B8EEC8D">
            <w:pPr>
              <w:pStyle w:val="25"/>
              <w:spacing w:line="360" w:lineRule="auto"/>
              <w:rPr>
                <w:rFonts w:ascii="宋体" w:hAnsi="宋体"/>
                <w:b/>
                <w:color w:val="000000" w:themeColor="text1"/>
                <w:sz w:val="24"/>
                <w14:textFill>
                  <w14:solidFill>
                    <w14:schemeClr w14:val="tx1"/>
                  </w14:solidFill>
                </w14:textFill>
              </w:rPr>
            </w:pPr>
          </w:p>
        </w:tc>
      </w:tr>
      <w:tr w14:paraId="77609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3" w:type="dxa"/>
            <w:tcBorders>
              <w:top w:val="single" w:color="000000" w:sz="4" w:space="0"/>
              <w:left w:val="single" w:color="000000" w:sz="4" w:space="0"/>
              <w:bottom w:val="single" w:color="000000" w:sz="4" w:space="0"/>
              <w:right w:val="single" w:color="000000" w:sz="4" w:space="0"/>
            </w:tcBorders>
          </w:tcPr>
          <w:p w14:paraId="6D562FE5">
            <w:pPr>
              <w:pStyle w:val="25"/>
              <w:spacing w:line="360" w:lineRule="auto"/>
              <w:rPr>
                <w:rFonts w:ascii="宋体" w:hAnsi="宋体"/>
                <w:b/>
                <w:color w:val="000000" w:themeColor="text1"/>
                <w:sz w:val="24"/>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tcPr>
          <w:p w14:paraId="1E785E41">
            <w:pPr>
              <w:pStyle w:val="25"/>
              <w:spacing w:line="360" w:lineRule="auto"/>
              <w:rPr>
                <w:rFonts w:ascii="宋体" w:hAnsi="宋体"/>
                <w:b/>
                <w:color w:val="000000" w:themeColor="text1"/>
                <w:sz w:val="24"/>
                <w14:textFill>
                  <w14:solidFill>
                    <w14:schemeClr w14:val="tx1"/>
                  </w14:solidFill>
                </w14:textFill>
              </w:rPr>
            </w:pPr>
          </w:p>
        </w:tc>
        <w:tc>
          <w:tcPr>
            <w:tcW w:w="822" w:type="dxa"/>
            <w:tcBorders>
              <w:top w:val="single" w:color="000000" w:sz="4" w:space="0"/>
              <w:left w:val="single" w:color="000000" w:sz="4" w:space="0"/>
              <w:bottom w:val="single" w:color="000000" w:sz="4" w:space="0"/>
              <w:right w:val="single" w:color="000000" w:sz="4" w:space="0"/>
            </w:tcBorders>
          </w:tcPr>
          <w:p w14:paraId="0AC4930C">
            <w:pPr>
              <w:pStyle w:val="25"/>
              <w:spacing w:line="360" w:lineRule="auto"/>
              <w:rPr>
                <w:rFonts w:ascii="宋体" w:hAnsi="宋体"/>
                <w:b/>
                <w:color w:val="000000" w:themeColor="text1"/>
                <w:sz w:val="24"/>
                <w14:textFill>
                  <w14:solidFill>
                    <w14:schemeClr w14:val="tx1"/>
                  </w14:solidFill>
                </w14:textFill>
              </w:rPr>
            </w:pPr>
          </w:p>
        </w:tc>
        <w:tc>
          <w:tcPr>
            <w:tcW w:w="753" w:type="dxa"/>
            <w:tcBorders>
              <w:top w:val="single" w:color="000000" w:sz="4" w:space="0"/>
              <w:left w:val="single" w:color="000000" w:sz="4" w:space="0"/>
              <w:bottom w:val="single" w:color="000000" w:sz="4" w:space="0"/>
              <w:right w:val="single" w:color="000000" w:sz="4" w:space="0"/>
            </w:tcBorders>
          </w:tcPr>
          <w:p w14:paraId="3249E603">
            <w:pPr>
              <w:pStyle w:val="25"/>
              <w:spacing w:line="360" w:lineRule="auto"/>
              <w:rPr>
                <w:rFonts w:ascii="宋体" w:hAnsi="宋体"/>
                <w:b/>
                <w:color w:val="000000" w:themeColor="text1"/>
                <w:sz w:val="24"/>
                <w14:textFill>
                  <w14:solidFill>
                    <w14:schemeClr w14:val="tx1"/>
                  </w14:solidFill>
                </w14:textFill>
              </w:rPr>
            </w:pPr>
          </w:p>
        </w:tc>
        <w:tc>
          <w:tcPr>
            <w:tcW w:w="1028" w:type="dxa"/>
            <w:tcBorders>
              <w:top w:val="single" w:color="000000" w:sz="4" w:space="0"/>
              <w:left w:val="single" w:color="000000" w:sz="4" w:space="0"/>
              <w:bottom w:val="single" w:color="000000" w:sz="4" w:space="0"/>
              <w:right w:val="single" w:color="000000" w:sz="4" w:space="0"/>
            </w:tcBorders>
          </w:tcPr>
          <w:p w14:paraId="5809D2D6">
            <w:pPr>
              <w:pStyle w:val="25"/>
              <w:spacing w:line="360" w:lineRule="auto"/>
              <w:rPr>
                <w:rFonts w:ascii="宋体" w:hAnsi="宋体"/>
                <w:b/>
                <w:color w:val="000000" w:themeColor="text1"/>
                <w:sz w:val="24"/>
                <w14:textFill>
                  <w14:solidFill>
                    <w14:schemeClr w14:val="tx1"/>
                  </w14:solidFill>
                </w14:textFill>
              </w:rPr>
            </w:pPr>
          </w:p>
        </w:tc>
        <w:tc>
          <w:tcPr>
            <w:tcW w:w="1027" w:type="dxa"/>
            <w:tcBorders>
              <w:top w:val="single" w:color="000000" w:sz="4" w:space="0"/>
              <w:left w:val="single" w:color="000000" w:sz="4" w:space="0"/>
              <w:bottom w:val="single" w:color="000000" w:sz="4" w:space="0"/>
              <w:right w:val="single" w:color="000000" w:sz="4" w:space="0"/>
            </w:tcBorders>
          </w:tcPr>
          <w:p w14:paraId="0BEA3C1A">
            <w:pPr>
              <w:pStyle w:val="25"/>
              <w:spacing w:line="360" w:lineRule="auto"/>
              <w:rPr>
                <w:rFonts w:ascii="宋体" w:hAnsi="宋体"/>
                <w:b/>
                <w:color w:val="000000" w:themeColor="text1"/>
                <w:sz w:val="24"/>
                <w14:textFill>
                  <w14:solidFill>
                    <w14:schemeClr w14:val="tx1"/>
                  </w14:solidFill>
                </w14:textFill>
              </w:rPr>
            </w:pPr>
          </w:p>
        </w:tc>
        <w:tc>
          <w:tcPr>
            <w:tcW w:w="478" w:type="dxa"/>
            <w:tcBorders>
              <w:top w:val="single" w:color="000000" w:sz="4" w:space="0"/>
              <w:left w:val="single" w:color="000000" w:sz="4" w:space="0"/>
              <w:bottom w:val="single" w:color="000000" w:sz="4" w:space="0"/>
              <w:right w:val="single" w:color="000000" w:sz="4" w:space="0"/>
            </w:tcBorders>
          </w:tcPr>
          <w:p w14:paraId="34107B8D">
            <w:pPr>
              <w:pStyle w:val="25"/>
              <w:spacing w:line="360" w:lineRule="auto"/>
              <w:rPr>
                <w:rFonts w:ascii="宋体" w:hAnsi="宋体"/>
                <w:b/>
                <w:color w:val="000000" w:themeColor="text1"/>
                <w:sz w:val="24"/>
                <w14:textFill>
                  <w14:solidFill>
                    <w14:schemeClr w14:val="tx1"/>
                  </w14:solidFill>
                </w14:textFill>
              </w:rPr>
            </w:pPr>
          </w:p>
        </w:tc>
      </w:tr>
      <w:tr w14:paraId="318FB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3" w:type="dxa"/>
            <w:tcBorders>
              <w:top w:val="single" w:color="000000" w:sz="4" w:space="0"/>
              <w:left w:val="single" w:color="000000" w:sz="4" w:space="0"/>
              <w:bottom w:val="single" w:color="000000" w:sz="4" w:space="0"/>
              <w:right w:val="single" w:color="000000" w:sz="4" w:space="0"/>
            </w:tcBorders>
          </w:tcPr>
          <w:p w14:paraId="505AF126">
            <w:pPr>
              <w:pStyle w:val="25"/>
              <w:spacing w:line="360" w:lineRule="auto"/>
              <w:rPr>
                <w:rFonts w:ascii="宋体" w:hAnsi="宋体"/>
                <w:b/>
                <w:color w:val="000000" w:themeColor="text1"/>
                <w:sz w:val="24"/>
                <w14:textFill>
                  <w14:solidFill>
                    <w14:schemeClr w14:val="tx1"/>
                  </w14:solidFill>
                </w14:textFill>
              </w:rPr>
            </w:pPr>
          </w:p>
        </w:tc>
        <w:tc>
          <w:tcPr>
            <w:tcW w:w="480" w:type="dxa"/>
            <w:tcBorders>
              <w:top w:val="single" w:color="000000" w:sz="4" w:space="0"/>
              <w:left w:val="single" w:color="000000" w:sz="4" w:space="0"/>
              <w:bottom w:val="single" w:color="000000" w:sz="4" w:space="0"/>
              <w:right w:val="single" w:color="000000" w:sz="4" w:space="0"/>
            </w:tcBorders>
          </w:tcPr>
          <w:p w14:paraId="4BE23185">
            <w:pPr>
              <w:pStyle w:val="25"/>
              <w:spacing w:line="360" w:lineRule="auto"/>
              <w:rPr>
                <w:rFonts w:ascii="宋体" w:hAnsi="宋体"/>
                <w:b/>
                <w:color w:val="000000" w:themeColor="text1"/>
                <w:sz w:val="24"/>
                <w14:textFill>
                  <w14:solidFill>
                    <w14:schemeClr w14:val="tx1"/>
                  </w14:solidFill>
                </w14:textFill>
              </w:rPr>
            </w:pPr>
          </w:p>
        </w:tc>
        <w:tc>
          <w:tcPr>
            <w:tcW w:w="822" w:type="dxa"/>
            <w:tcBorders>
              <w:top w:val="single" w:color="000000" w:sz="4" w:space="0"/>
              <w:left w:val="single" w:color="000000" w:sz="4" w:space="0"/>
              <w:bottom w:val="single" w:color="000000" w:sz="4" w:space="0"/>
              <w:right w:val="single" w:color="000000" w:sz="4" w:space="0"/>
            </w:tcBorders>
          </w:tcPr>
          <w:p w14:paraId="3F9298AD">
            <w:pPr>
              <w:pStyle w:val="25"/>
              <w:spacing w:line="360" w:lineRule="auto"/>
              <w:rPr>
                <w:rFonts w:ascii="宋体" w:hAnsi="宋体"/>
                <w:b/>
                <w:color w:val="000000" w:themeColor="text1"/>
                <w:sz w:val="24"/>
                <w14:textFill>
                  <w14:solidFill>
                    <w14:schemeClr w14:val="tx1"/>
                  </w14:solidFill>
                </w14:textFill>
              </w:rPr>
            </w:pPr>
          </w:p>
        </w:tc>
        <w:tc>
          <w:tcPr>
            <w:tcW w:w="753" w:type="dxa"/>
            <w:tcBorders>
              <w:top w:val="single" w:color="000000" w:sz="4" w:space="0"/>
              <w:left w:val="single" w:color="000000" w:sz="4" w:space="0"/>
              <w:bottom w:val="single" w:color="000000" w:sz="4" w:space="0"/>
              <w:right w:val="single" w:color="000000" w:sz="4" w:space="0"/>
            </w:tcBorders>
          </w:tcPr>
          <w:p w14:paraId="75F80B1F">
            <w:pPr>
              <w:pStyle w:val="25"/>
              <w:spacing w:line="360" w:lineRule="auto"/>
              <w:rPr>
                <w:rFonts w:ascii="宋体" w:hAnsi="宋体"/>
                <w:b/>
                <w:color w:val="000000" w:themeColor="text1"/>
                <w:sz w:val="24"/>
                <w14:textFill>
                  <w14:solidFill>
                    <w14:schemeClr w14:val="tx1"/>
                  </w14:solidFill>
                </w14:textFill>
              </w:rPr>
            </w:pPr>
          </w:p>
        </w:tc>
        <w:tc>
          <w:tcPr>
            <w:tcW w:w="1028" w:type="dxa"/>
            <w:tcBorders>
              <w:top w:val="single" w:color="000000" w:sz="4" w:space="0"/>
              <w:left w:val="single" w:color="000000" w:sz="4" w:space="0"/>
              <w:bottom w:val="single" w:color="000000" w:sz="4" w:space="0"/>
              <w:right w:val="single" w:color="000000" w:sz="4" w:space="0"/>
            </w:tcBorders>
          </w:tcPr>
          <w:p w14:paraId="47CFA224">
            <w:pPr>
              <w:pStyle w:val="25"/>
              <w:spacing w:line="360" w:lineRule="auto"/>
              <w:rPr>
                <w:rFonts w:ascii="宋体" w:hAnsi="宋体"/>
                <w:b/>
                <w:color w:val="000000" w:themeColor="text1"/>
                <w:sz w:val="24"/>
                <w14:textFill>
                  <w14:solidFill>
                    <w14:schemeClr w14:val="tx1"/>
                  </w14:solidFill>
                </w14:textFill>
              </w:rPr>
            </w:pPr>
          </w:p>
        </w:tc>
        <w:tc>
          <w:tcPr>
            <w:tcW w:w="1027" w:type="dxa"/>
            <w:tcBorders>
              <w:top w:val="single" w:color="000000" w:sz="4" w:space="0"/>
              <w:left w:val="single" w:color="000000" w:sz="4" w:space="0"/>
              <w:bottom w:val="single" w:color="000000" w:sz="4" w:space="0"/>
              <w:right w:val="single" w:color="000000" w:sz="4" w:space="0"/>
            </w:tcBorders>
          </w:tcPr>
          <w:p w14:paraId="038C1EEA">
            <w:pPr>
              <w:pStyle w:val="25"/>
              <w:spacing w:line="360" w:lineRule="auto"/>
              <w:rPr>
                <w:rFonts w:ascii="宋体" w:hAnsi="宋体"/>
                <w:b/>
                <w:color w:val="000000" w:themeColor="text1"/>
                <w:sz w:val="24"/>
                <w14:textFill>
                  <w14:solidFill>
                    <w14:schemeClr w14:val="tx1"/>
                  </w14:solidFill>
                </w14:textFill>
              </w:rPr>
            </w:pPr>
          </w:p>
        </w:tc>
        <w:tc>
          <w:tcPr>
            <w:tcW w:w="478" w:type="dxa"/>
            <w:tcBorders>
              <w:top w:val="single" w:color="000000" w:sz="4" w:space="0"/>
              <w:left w:val="single" w:color="000000" w:sz="4" w:space="0"/>
              <w:bottom w:val="single" w:color="000000" w:sz="4" w:space="0"/>
              <w:right w:val="single" w:color="000000" w:sz="4" w:space="0"/>
            </w:tcBorders>
          </w:tcPr>
          <w:p w14:paraId="318AB6B3">
            <w:pPr>
              <w:pStyle w:val="25"/>
              <w:spacing w:line="360" w:lineRule="auto"/>
              <w:rPr>
                <w:rFonts w:ascii="宋体" w:hAnsi="宋体"/>
                <w:b/>
                <w:color w:val="000000" w:themeColor="text1"/>
                <w:sz w:val="24"/>
                <w14:textFill>
                  <w14:solidFill>
                    <w14:schemeClr w14:val="tx1"/>
                  </w14:solidFill>
                </w14:textFill>
              </w:rPr>
            </w:pPr>
          </w:p>
        </w:tc>
      </w:tr>
    </w:tbl>
    <w:p w14:paraId="70EB6069">
      <w:pPr>
        <w:pStyle w:val="26"/>
        <w:spacing w:before="156" w:line="360" w:lineRule="auto"/>
        <w:ind w:firstLine="480"/>
        <w:rPr>
          <w:rFonts w:ascii="宋体" w:hAnsi="宋体" w:eastAsia="宋体"/>
          <w:color w:val="000000" w:themeColor="text1"/>
          <w:sz w:val="24"/>
          <w:u w:val="single"/>
          <w14:textFill>
            <w14:solidFill>
              <w14:schemeClr w14:val="tx1"/>
            </w14:solidFill>
          </w14:textFill>
        </w:rPr>
      </w:pPr>
      <w:r>
        <w:rPr>
          <w:rFonts w:hint="eastAsia" w:ascii="宋体" w:hAnsi="宋体" w:eastAsia="宋体"/>
          <w:color w:val="000000" w:themeColor="text1"/>
          <w:sz w:val="24"/>
          <w:u w:val="single"/>
          <w14:textFill>
            <w14:solidFill>
              <w14:schemeClr w14:val="tx1"/>
            </w14:solidFill>
          </w14:textFill>
        </w:rPr>
        <w:t>注：1、行数不够，请自行添加。</w:t>
      </w:r>
    </w:p>
    <w:p w14:paraId="10DE8113">
      <w:pPr>
        <w:pStyle w:val="25"/>
        <w:spacing w:line="360" w:lineRule="auto"/>
        <w:ind w:firstLine="48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2、列入本表人员如要更换，须经采购人同意，擅自更换属违约行为。</w:t>
      </w:r>
    </w:p>
    <w:p w14:paraId="430A8327">
      <w:pPr>
        <w:pStyle w:val="25"/>
        <w:spacing w:line="360" w:lineRule="auto"/>
        <w:ind w:firstLine="48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3、列入上表人员具有相关证书、工作经验的，应在本栏目提交相关证明材料复印件。</w:t>
      </w:r>
    </w:p>
    <w:p w14:paraId="0556536D">
      <w:pPr>
        <w:pStyle w:val="25"/>
        <w:spacing w:line="360" w:lineRule="auto"/>
        <w:ind w:firstLine="480"/>
        <w:rPr>
          <w:rFonts w:ascii="宋体" w:hAnsi="宋体"/>
          <w:color w:val="0000FF"/>
          <w:sz w:val="24"/>
          <w:u w:val="single"/>
        </w:rPr>
      </w:pPr>
      <w:r>
        <w:rPr>
          <w:rFonts w:hint="eastAsia" w:ascii="宋体" w:hAnsi="宋体"/>
          <w:color w:val="0000FF"/>
          <w:sz w:val="24"/>
          <w:u w:val="single"/>
        </w:rPr>
        <w:t>4、须提供近半年（任意一个月）供应商为其缴纳社会保险的证明材料。</w:t>
      </w:r>
    </w:p>
    <w:p w14:paraId="4682DC70">
      <w:pPr>
        <w:pStyle w:val="25"/>
        <w:spacing w:line="360" w:lineRule="auto"/>
        <w:ind w:firstLine="480"/>
        <w:rPr>
          <w:rFonts w:ascii="宋体" w:hAnsi="宋体"/>
          <w:color w:val="000000" w:themeColor="text1"/>
          <w:sz w:val="24"/>
          <w:u w:val="single"/>
          <w14:textFill>
            <w14:solidFill>
              <w14:schemeClr w14:val="tx1"/>
            </w14:solidFill>
          </w14:textFill>
        </w:rPr>
      </w:pPr>
    </w:p>
    <w:p w14:paraId="254F846A">
      <w:pPr>
        <w:pStyle w:val="25"/>
        <w:spacing w:line="360" w:lineRule="auto"/>
        <w:ind w:firstLine="480"/>
        <w:rPr>
          <w:rFonts w:ascii="宋体" w:hAnsi="宋体"/>
          <w:color w:val="000000" w:themeColor="text1"/>
          <w:sz w:val="24"/>
          <w:u w:val="single"/>
          <w14:textFill>
            <w14:solidFill>
              <w14:schemeClr w14:val="tx1"/>
            </w14:solidFill>
          </w14:textFill>
        </w:rPr>
      </w:pPr>
    </w:p>
    <w:p w14:paraId="7697942C">
      <w:pPr>
        <w:pStyle w:val="25"/>
        <w:spacing w:line="360" w:lineRule="auto"/>
        <w:ind w:firstLine="480"/>
        <w:rPr>
          <w:rFonts w:ascii="宋体" w:hAnsi="宋体"/>
          <w:color w:val="000000" w:themeColor="text1"/>
          <w:sz w:val="24"/>
          <w:u w:val="single"/>
          <w14:textFill>
            <w14:solidFill>
              <w14:schemeClr w14:val="tx1"/>
            </w14:solidFill>
          </w14:textFill>
        </w:rPr>
      </w:pPr>
    </w:p>
    <w:p w14:paraId="301C48A2">
      <w:pPr>
        <w:pStyle w:val="25"/>
        <w:spacing w:line="360" w:lineRule="auto"/>
        <w:ind w:firstLine="480"/>
        <w:rPr>
          <w:rFonts w:ascii="宋体" w:hAnsi="宋体"/>
          <w:color w:val="000000" w:themeColor="text1"/>
          <w:sz w:val="24"/>
          <w:u w:val="single"/>
          <w14:textFill>
            <w14:solidFill>
              <w14:schemeClr w14:val="tx1"/>
            </w14:solidFill>
          </w14:textFill>
        </w:rPr>
      </w:pPr>
    </w:p>
    <w:p w14:paraId="481B3103">
      <w:pPr>
        <w:pStyle w:val="25"/>
        <w:spacing w:line="360" w:lineRule="auto"/>
        <w:ind w:firstLine="480"/>
        <w:rPr>
          <w:rFonts w:ascii="宋体" w:hAnsi="宋体"/>
          <w:color w:val="000000" w:themeColor="text1"/>
          <w:sz w:val="24"/>
          <w:u w:val="single"/>
          <w14:textFill>
            <w14:solidFill>
              <w14:schemeClr w14:val="tx1"/>
            </w14:solidFill>
          </w14:textFill>
        </w:rPr>
      </w:pPr>
    </w:p>
    <w:p w14:paraId="563428D7">
      <w:pPr>
        <w:pStyle w:val="25"/>
        <w:spacing w:line="360" w:lineRule="auto"/>
        <w:ind w:firstLine="480"/>
        <w:rPr>
          <w:rFonts w:ascii="宋体" w:hAnsi="宋体"/>
          <w:color w:val="000000" w:themeColor="text1"/>
          <w:sz w:val="24"/>
          <w:u w:val="single"/>
          <w14:textFill>
            <w14:solidFill>
              <w14:schemeClr w14:val="tx1"/>
            </w14:solidFill>
          </w14:textFill>
        </w:rPr>
      </w:pPr>
    </w:p>
    <w:p w14:paraId="2A0F9766">
      <w:pPr>
        <w:pStyle w:val="25"/>
        <w:spacing w:line="360" w:lineRule="auto"/>
        <w:ind w:firstLine="480"/>
        <w:rPr>
          <w:rFonts w:ascii="宋体" w:hAnsi="宋体"/>
          <w:color w:val="000000" w:themeColor="text1"/>
          <w:sz w:val="24"/>
          <w:u w:val="single"/>
          <w14:textFill>
            <w14:solidFill>
              <w14:schemeClr w14:val="tx1"/>
            </w14:solidFill>
          </w14:textFill>
        </w:rPr>
      </w:pPr>
    </w:p>
    <w:p w14:paraId="332FEEFC">
      <w:pPr>
        <w:pStyle w:val="25"/>
        <w:spacing w:line="360" w:lineRule="auto"/>
        <w:ind w:firstLine="480"/>
        <w:rPr>
          <w:rFonts w:ascii="宋体" w:hAnsi="宋体"/>
          <w:color w:val="000000" w:themeColor="text1"/>
          <w:sz w:val="24"/>
          <w:u w:val="single"/>
          <w14:textFill>
            <w14:solidFill>
              <w14:schemeClr w14:val="tx1"/>
            </w14:solidFill>
          </w14:textFill>
        </w:rPr>
      </w:pPr>
    </w:p>
    <w:p w14:paraId="50F00599">
      <w:pPr>
        <w:pStyle w:val="25"/>
        <w:spacing w:line="360" w:lineRule="auto"/>
        <w:ind w:firstLine="480"/>
        <w:rPr>
          <w:rFonts w:ascii="宋体" w:hAnsi="宋体"/>
          <w:color w:val="000000" w:themeColor="text1"/>
          <w:sz w:val="24"/>
          <w:u w:val="single"/>
          <w14:textFill>
            <w14:solidFill>
              <w14:schemeClr w14:val="tx1"/>
            </w14:solidFill>
          </w14:textFill>
        </w:rPr>
      </w:pPr>
    </w:p>
    <w:p w14:paraId="2313A66F">
      <w:pPr>
        <w:pStyle w:val="25"/>
        <w:spacing w:line="360" w:lineRule="auto"/>
        <w:ind w:firstLine="480"/>
        <w:rPr>
          <w:rFonts w:ascii="宋体" w:hAnsi="宋体"/>
          <w:color w:val="000000" w:themeColor="text1"/>
          <w:sz w:val="24"/>
          <w:u w:val="single"/>
          <w14:textFill>
            <w14:solidFill>
              <w14:schemeClr w14:val="tx1"/>
            </w14:solidFill>
          </w14:textFill>
        </w:rPr>
      </w:pPr>
    </w:p>
    <w:p w14:paraId="43E4C0B9">
      <w:pPr>
        <w:pStyle w:val="25"/>
        <w:spacing w:line="360" w:lineRule="auto"/>
        <w:ind w:firstLine="480"/>
        <w:rPr>
          <w:rFonts w:ascii="宋体" w:hAnsi="宋体"/>
          <w:color w:val="000000" w:themeColor="text1"/>
          <w:sz w:val="24"/>
          <w:u w:val="single"/>
          <w14:textFill>
            <w14:solidFill>
              <w14:schemeClr w14:val="tx1"/>
            </w14:solidFill>
          </w14:textFill>
        </w:rPr>
      </w:pPr>
    </w:p>
    <w:p w14:paraId="39C24F3A">
      <w:pPr>
        <w:pStyle w:val="25"/>
        <w:spacing w:line="360" w:lineRule="auto"/>
        <w:ind w:firstLine="480"/>
        <w:rPr>
          <w:rFonts w:ascii="宋体" w:hAnsi="宋体"/>
          <w:color w:val="000000" w:themeColor="text1"/>
          <w:sz w:val="24"/>
          <w:u w:val="single"/>
          <w14:textFill>
            <w14:solidFill>
              <w14:schemeClr w14:val="tx1"/>
            </w14:solidFill>
          </w14:textFill>
        </w:rPr>
      </w:pPr>
    </w:p>
    <w:p w14:paraId="6E662BA0">
      <w:pPr>
        <w:pStyle w:val="25"/>
        <w:spacing w:line="360" w:lineRule="auto"/>
        <w:ind w:firstLine="480"/>
        <w:rPr>
          <w:rFonts w:ascii="宋体" w:hAnsi="宋体"/>
          <w:color w:val="000000" w:themeColor="text1"/>
          <w:sz w:val="24"/>
          <w:u w:val="single"/>
          <w14:textFill>
            <w14:solidFill>
              <w14:schemeClr w14:val="tx1"/>
            </w14:solidFill>
          </w14:textFill>
        </w:rPr>
      </w:pPr>
    </w:p>
    <w:p w14:paraId="60A484DF">
      <w:pPr>
        <w:pStyle w:val="25"/>
        <w:spacing w:line="360" w:lineRule="auto"/>
        <w:ind w:firstLine="480"/>
        <w:rPr>
          <w:rFonts w:ascii="宋体" w:hAnsi="宋体"/>
          <w:color w:val="000000" w:themeColor="text1"/>
          <w:sz w:val="24"/>
          <w:u w:val="single"/>
          <w14:textFill>
            <w14:solidFill>
              <w14:schemeClr w14:val="tx1"/>
            </w14:solidFill>
          </w14:textFill>
        </w:rPr>
      </w:pPr>
    </w:p>
    <w:p w14:paraId="228A40A5">
      <w:pPr>
        <w:pStyle w:val="25"/>
        <w:spacing w:line="360" w:lineRule="auto"/>
        <w:ind w:firstLine="480"/>
        <w:rPr>
          <w:rFonts w:ascii="宋体" w:hAnsi="宋体"/>
          <w:color w:val="000000" w:themeColor="text1"/>
          <w:sz w:val="24"/>
          <w:u w:val="single"/>
          <w14:textFill>
            <w14:solidFill>
              <w14:schemeClr w14:val="tx1"/>
            </w14:solidFill>
          </w14:textFill>
        </w:rPr>
      </w:pPr>
    </w:p>
    <w:p w14:paraId="4338D284">
      <w:pPr>
        <w:pStyle w:val="6"/>
        <w:ind w:firstLine="0"/>
      </w:pPr>
    </w:p>
    <w:p w14:paraId="15F5C776">
      <w:pPr>
        <w:pStyle w:val="6"/>
      </w:pPr>
    </w:p>
    <w:p w14:paraId="2514DDCE">
      <w:pPr>
        <w:pStyle w:val="6"/>
      </w:pPr>
    </w:p>
    <w:p w14:paraId="434A579C">
      <w:pPr>
        <w:pStyle w:val="6"/>
      </w:pPr>
    </w:p>
    <w:p w14:paraId="3C4B56D0">
      <w:pPr>
        <w:pStyle w:val="6"/>
      </w:pPr>
    </w:p>
    <w:p w14:paraId="3D59B31D">
      <w:pPr>
        <w:jc w:val="center"/>
        <w:outlineLvl w:val="2"/>
        <w:rPr>
          <w:rFonts w:ascii="Times New Roman" w:hAnsi="Times New Roman" w:eastAsia="宋体" w:cs="Times New Roman"/>
          <w:sz w:val="28"/>
          <w:szCs w:val="28"/>
        </w:rPr>
      </w:pPr>
    </w:p>
    <w:p w14:paraId="35393E2C">
      <w:pPr>
        <w:jc w:val="center"/>
        <w:outlineLvl w:val="2"/>
        <w:rPr>
          <w:rFonts w:ascii="Times New Roman" w:hAnsi="Times New Roman" w:eastAsia="宋体" w:cs="Times New Roman"/>
          <w:sz w:val="28"/>
          <w:szCs w:val="28"/>
        </w:rPr>
      </w:pPr>
    </w:p>
    <w:p w14:paraId="7012E144">
      <w:pPr>
        <w:jc w:val="center"/>
        <w:outlineLvl w:val="2"/>
        <w:rPr>
          <w:rFonts w:ascii="Times New Roman" w:hAnsi="Times New Roman" w:eastAsia="宋体" w:cs="Times New Roman"/>
          <w:sz w:val="28"/>
          <w:szCs w:val="28"/>
        </w:rPr>
      </w:pPr>
    </w:p>
    <w:p w14:paraId="75F0FD19">
      <w:pPr>
        <w:jc w:val="center"/>
        <w:outlineLvl w:val="2"/>
        <w:rPr>
          <w:rFonts w:ascii="Times New Roman" w:hAnsi="Times New Roman" w:eastAsia="宋体" w:cs="Times New Roman"/>
          <w:sz w:val="28"/>
          <w:szCs w:val="28"/>
        </w:rPr>
      </w:pPr>
      <w:bookmarkStart w:id="136" w:name="_Toc30780"/>
      <w:r>
        <w:rPr>
          <w:rFonts w:hint="eastAsia" w:ascii="Times New Roman" w:hAnsi="Times New Roman" w:eastAsia="宋体" w:cs="Times New Roman"/>
          <w:sz w:val="28"/>
          <w:szCs w:val="28"/>
        </w:rPr>
        <w:t>（五）首次报价一览表</w:t>
      </w:r>
      <w:bookmarkEnd w:id="136"/>
    </w:p>
    <w:p w14:paraId="392A9E8B">
      <w:pPr>
        <w:jc w:val="center"/>
        <w:rPr>
          <w:b/>
          <w:bCs/>
          <w:sz w:val="28"/>
          <w:szCs w:val="28"/>
        </w:rPr>
      </w:pPr>
      <w:r>
        <w:rPr>
          <w:b/>
          <w:bCs/>
          <w:sz w:val="28"/>
          <w:szCs w:val="28"/>
        </w:rPr>
        <w:t>首次报价一览表</w:t>
      </w:r>
    </w:p>
    <w:p w14:paraId="33111B14">
      <w:pPr>
        <w:spacing w:line="346" w:lineRule="auto"/>
        <w:rPr>
          <w:rFonts w:ascii="Arial"/>
        </w:rPr>
      </w:pPr>
    </w:p>
    <w:p w14:paraId="3248AD47">
      <w:r>
        <w:t>单位名称(加盖公章):</w:t>
      </w:r>
    </w:p>
    <w:tbl>
      <w:tblPr>
        <w:tblStyle w:val="19"/>
        <w:tblW w:w="8969"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29"/>
        <w:gridCol w:w="4240"/>
      </w:tblGrid>
      <w:tr w14:paraId="66FD7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3" w:hRule="atLeast"/>
        </w:trPr>
        <w:tc>
          <w:tcPr>
            <w:tcW w:w="4729" w:type="dxa"/>
            <w:vAlign w:val="center"/>
          </w:tcPr>
          <w:p w14:paraId="292C3C8F">
            <w:pPr>
              <w:jc w:val="center"/>
            </w:pPr>
          </w:p>
          <w:p w14:paraId="211C0388">
            <w:pPr>
              <w:jc w:val="center"/>
            </w:pPr>
            <w:r>
              <w:t>标题</w:t>
            </w:r>
          </w:p>
        </w:tc>
        <w:tc>
          <w:tcPr>
            <w:tcW w:w="4240" w:type="dxa"/>
            <w:vAlign w:val="center"/>
          </w:tcPr>
          <w:p w14:paraId="4AC03A1E">
            <w:pPr>
              <w:jc w:val="center"/>
            </w:pPr>
          </w:p>
          <w:p w14:paraId="4B827633">
            <w:pPr>
              <w:jc w:val="center"/>
            </w:pPr>
            <w:r>
              <w:t>内容</w:t>
            </w:r>
          </w:p>
        </w:tc>
      </w:tr>
      <w:tr w14:paraId="5A0F8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8" w:hRule="atLeast"/>
        </w:trPr>
        <w:tc>
          <w:tcPr>
            <w:tcW w:w="4729" w:type="dxa"/>
            <w:vAlign w:val="center"/>
          </w:tcPr>
          <w:p w14:paraId="24202D8B">
            <w:pPr>
              <w:jc w:val="center"/>
            </w:pPr>
          </w:p>
          <w:p w14:paraId="017FE852">
            <w:pPr>
              <w:jc w:val="center"/>
            </w:pPr>
            <w:r>
              <w:t>单位名称</w:t>
            </w:r>
          </w:p>
        </w:tc>
        <w:tc>
          <w:tcPr>
            <w:tcW w:w="4240" w:type="dxa"/>
            <w:vAlign w:val="center"/>
          </w:tcPr>
          <w:p w14:paraId="23003575">
            <w:pPr>
              <w:jc w:val="center"/>
            </w:pPr>
          </w:p>
        </w:tc>
      </w:tr>
      <w:tr w14:paraId="2687C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8" w:hRule="atLeast"/>
        </w:trPr>
        <w:tc>
          <w:tcPr>
            <w:tcW w:w="4729" w:type="dxa"/>
            <w:vAlign w:val="center"/>
          </w:tcPr>
          <w:p w14:paraId="21E0E7D7">
            <w:pPr>
              <w:jc w:val="center"/>
            </w:pPr>
          </w:p>
          <w:p w14:paraId="4C2AD741">
            <w:pPr>
              <w:jc w:val="center"/>
            </w:pPr>
            <w:r>
              <w:t>服务期</w:t>
            </w:r>
          </w:p>
        </w:tc>
        <w:tc>
          <w:tcPr>
            <w:tcW w:w="4240" w:type="dxa"/>
            <w:vAlign w:val="center"/>
          </w:tcPr>
          <w:p w14:paraId="2290C2A4">
            <w:pPr>
              <w:jc w:val="center"/>
            </w:pPr>
          </w:p>
        </w:tc>
      </w:tr>
      <w:tr w14:paraId="3A088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8" w:hRule="atLeast"/>
        </w:trPr>
        <w:tc>
          <w:tcPr>
            <w:tcW w:w="4729" w:type="dxa"/>
            <w:vAlign w:val="center"/>
          </w:tcPr>
          <w:p w14:paraId="17DAFB37">
            <w:pPr>
              <w:jc w:val="center"/>
              <w:rPr>
                <w:rFonts w:hint="eastAsia" w:eastAsiaTheme="minorEastAsia"/>
                <w:lang w:eastAsia="zh-CN"/>
              </w:rPr>
            </w:pPr>
            <w:r>
              <w:rPr>
                <w:rFonts w:hint="eastAsia"/>
              </w:rPr>
              <w:t>项目</w:t>
            </w:r>
            <w:r>
              <w:rPr>
                <w:rFonts w:hint="eastAsia"/>
                <w:lang w:val="en-US" w:eastAsia="zh-CN"/>
              </w:rPr>
              <w:t>负责人</w:t>
            </w:r>
          </w:p>
        </w:tc>
        <w:tc>
          <w:tcPr>
            <w:tcW w:w="4240" w:type="dxa"/>
            <w:vAlign w:val="center"/>
          </w:tcPr>
          <w:p w14:paraId="46E42913">
            <w:pPr>
              <w:jc w:val="center"/>
            </w:pPr>
          </w:p>
        </w:tc>
      </w:tr>
      <w:tr w14:paraId="757EC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8" w:hRule="atLeast"/>
        </w:trPr>
        <w:tc>
          <w:tcPr>
            <w:tcW w:w="4729" w:type="dxa"/>
            <w:vAlign w:val="center"/>
          </w:tcPr>
          <w:p w14:paraId="4125A656">
            <w:pPr>
              <w:jc w:val="center"/>
            </w:pPr>
          </w:p>
          <w:p w14:paraId="5C6B03A9">
            <w:pPr>
              <w:jc w:val="center"/>
            </w:pPr>
            <w:r>
              <w:t>项目总报价大写</w:t>
            </w:r>
          </w:p>
        </w:tc>
        <w:tc>
          <w:tcPr>
            <w:tcW w:w="4240" w:type="dxa"/>
            <w:vAlign w:val="center"/>
          </w:tcPr>
          <w:p w14:paraId="1078631B">
            <w:pPr>
              <w:jc w:val="center"/>
            </w:pPr>
          </w:p>
        </w:tc>
      </w:tr>
      <w:tr w14:paraId="5AE00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2" w:hRule="atLeast"/>
        </w:trPr>
        <w:tc>
          <w:tcPr>
            <w:tcW w:w="4729" w:type="dxa"/>
            <w:vAlign w:val="center"/>
          </w:tcPr>
          <w:p w14:paraId="1CB8D6F0">
            <w:pPr>
              <w:jc w:val="center"/>
            </w:pPr>
          </w:p>
          <w:p w14:paraId="7A1A8462">
            <w:pPr>
              <w:jc w:val="center"/>
            </w:pPr>
            <w:r>
              <w:t>项目总报价小写</w:t>
            </w:r>
          </w:p>
        </w:tc>
        <w:tc>
          <w:tcPr>
            <w:tcW w:w="4240" w:type="dxa"/>
            <w:vAlign w:val="center"/>
          </w:tcPr>
          <w:p w14:paraId="6655A394">
            <w:pPr>
              <w:jc w:val="center"/>
            </w:pPr>
          </w:p>
          <w:p w14:paraId="7E7147E4">
            <w:pPr>
              <w:jc w:val="center"/>
            </w:pPr>
            <w:r>
              <w:t>元</w:t>
            </w:r>
          </w:p>
        </w:tc>
      </w:tr>
    </w:tbl>
    <w:p w14:paraId="38706D66">
      <w:pPr>
        <w:spacing w:line="360" w:lineRule="auto"/>
        <w:ind w:right="1960"/>
        <w:rPr>
          <w:sz w:val="28"/>
          <w:szCs w:val="28"/>
        </w:rPr>
      </w:pPr>
    </w:p>
    <w:p w14:paraId="4C21BB25">
      <w:pPr>
        <w:spacing w:line="360" w:lineRule="auto"/>
        <w:jc w:val="right"/>
        <w:rPr>
          <w:sz w:val="28"/>
          <w:szCs w:val="28"/>
        </w:rPr>
      </w:pPr>
    </w:p>
    <w:p w14:paraId="45155328">
      <w:pPr>
        <w:spacing w:line="360" w:lineRule="auto"/>
        <w:jc w:val="right"/>
        <w:rPr>
          <w:sz w:val="28"/>
          <w:szCs w:val="28"/>
        </w:rPr>
      </w:pPr>
      <w:r>
        <w:rPr>
          <w:sz w:val="28"/>
          <w:szCs w:val="28"/>
        </w:rPr>
        <w:t>法定代表人签章：</w:t>
      </w:r>
    </w:p>
    <w:p w14:paraId="4EC319FD">
      <w:pPr>
        <w:spacing w:line="360" w:lineRule="auto"/>
        <w:jc w:val="right"/>
        <w:rPr>
          <w:sz w:val="28"/>
          <w:szCs w:val="28"/>
        </w:rPr>
      </w:pPr>
      <w:r>
        <w:rPr>
          <w:sz w:val="28"/>
          <w:szCs w:val="28"/>
        </w:rPr>
        <w:t>日期：</w:t>
      </w:r>
    </w:p>
    <w:p w14:paraId="6B6FAE02">
      <w:pPr>
        <w:pStyle w:val="10"/>
      </w:pPr>
    </w:p>
    <w:p w14:paraId="03F51398">
      <w:pPr>
        <w:jc w:val="left"/>
      </w:pPr>
      <w:r>
        <w:rPr>
          <w:rFonts w:hint="eastAsia"/>
        </w:rPr>
        <w:t>注：1、最终报价将在系统中进行，请各响应供应商保持通讯畅通，随时关注系统通知，如果供应商在</w:t>
      </w:r>
      <w:r>
        <w:t>规定的时间内</w:t>
      </w:r>
      <w:r>
        <w:rPr>
          <w:rFonts w:hint="eastAsia"/>
        </w:rPr>
        <w:t>不上传二次报价，“苏采云”系统则会认为其为无效响应供应商。</w:t>
      </w:r>
    </w:p>
    <w:p w14:paraId="36736808">
      <w:pPr>
        <w:jc w:val="left"/>
        <w:sectPr>
          <w:headerReference r:id="rId18" w:type="default"/>
          <w:footerReference r:id="rId19" w:type="default"/>
          <w:pgSz w:w="11900" w:h="16840"/>
          <w:pgMar w:top="400" w:right="1239" w:bottom="1391" w:left="1190" w:header="0" w:footer="1262" w:gutter="0"/>
          <w:cols w:space="720" w:num="1"/>
        </w:sectPr>
      </w:pPr>
      <w:r>
        <w:rPr>
          <w:rFonts w:hint="eastAsia"/>
        </w:rPr>
        <w:t>2、响应总报价包括采购文件所确定的采购需求的全部内容，包括本次磋商要求提供服务已支付或将支付的所有费用。</w:t>
      </w:r>
    </w:p>
    <w:p w14:paraId="7F4F6DF6">
      <w:pPr>
        <w:pStyle w:val="4"/>
        <w:spacing w:line="360" w:lineRule="auto"/>
        <w:jc w:val="center"/>
      </w:pPr>
      <w:bookmarkStart w:id="137" w:name="_Toc20185"/>
      <w:r>
        <w:rPr>
          <w:rFonts w:hint="eastAsia"/>
        </w:rPr>
        <w:t>四、其它部分</w:t>
      </w:r>
      <w:bookmarkEnd w:id="137"/>
    </w:p>
    <w:p w14:paraId="253A76F2">
      <w:pPr>
        <w:pStyle w:val="6"/>
        <w:sectPr>
          <w:pgSz w:w="11906" w:h="16838"/>
          <w:pgMar w:top="1440" w:right="1242" w:bottom="1440" w:left="1242" w:header="851" w:footer="992" w:gutter="0"/>
          <w:cols w:space="425" w:num="1"/>
          <w:docGrid w:type="lines" w:linePitch="312" w:charSpace="0"/>
        </w:sectPr>
      </w:pPr>
    </w:p>
    <w:p w14:paraId="4EF1F010">
      <w:pPr>
        <w:jc w:val="center"/>
        <w:outlineLvl w:val="2"/>
        <w:rPr>
          <w:rFonts w:ascii="Times New Roman" w:hAnsi="Times New Roman" w:eastAsia="宋体" w:cs="Times New Roman"/>
          <w:sz w:val="28"/>
          <w:szCs w:val="28"/>
        </w:rPr>
      </w:pPr>
      <w:bookmarkStart w:id="138" w:name="_Toc7233"/>
      <w:r>
        <w:rPr>
          <w:rFonts w:hint="eastAsia" w:ascii="Times New Roman" w:hAnsi="Times New Roman" w:eastAsia="宋体" w:cs="Times New Roman"/>
          <w:sz w:val="28"/>
          <w:szCs w:val="28"/>
        </w:rPr>
        <w:t>(一)中小企业声明函</w:t>
      </w:r>
      <w:bookmarkEnd w:id="138"/>
    </w:p>
    <w:p w14:paraId="2BEA5505">
      <w:pPr>
        <w:spacing w:line="360" w:lineRule="auto"/>
        <w:ind w:firstLine="480" w:firstLineChars="200"/>
        <w:rPr>
          <w:rFonts w:hint="eastAsia" w:ascii="宋体" w:hAnsi="宋体" w:eastAsia="宋体" w:cs="宋体"/>
          <w:sz w:val="24"/>
        </w:rPr>
      </w:pPr>
    </w:p>
    <w:p w14:paraId="329380F6">
      <w:pPr>
        <w:spacing w:line="360" w:lineRule="auto"/>
        <w:ind w:firstLine="480" w:firstLineChars="200"/>
        <w:rPr>
          <w:rFonts w:ascii="宋体" w:hAnsi="宋体" w:eastAsia="宋体" w:cs="宋体"/>
          <w:sz w:val="24"/>
        </w:rPr>
      </w:pPr>
      <w:r>
        <w:rPr>
          <w:rFonts w:hint="eastAsia" w:ascii="宋体" w:hAnsi="宋体" w:eastAsia="宋体" w:cs="宋体"/>
          <w:sz w:val="24"/>
        </w:rPr>
        <w:t>本公司（联合体）郑重声明，根据《政府采购促进中小企业发展管理办法》(财库(2020)46号)的规定，本公司（联合体）参加</w:t>
      </w:r>
      <w:r>
        <w:rPr>
          <w:rFonts w:hint="eastAsia" w:ascii="宋体" w:hAnsi="宋体" w:eastAsia="宋体" w:cs="宋体"/>
          <w:sz w:val="24"/>
          <w:u w:val="single"/>
        </w:rPr>
        <w:t>(单位名称</w:t>
      </w:r>
      <w:r>
        <w:rPr>
          <w:rFonts w:hint="eastAsia" w:ascii="宋体" w:hAnsi="宋体" w:eastAsia="宋体" w:cs="宋体"/>
          <w:sz w:val="24"/>
        </w:rPr>
        <w:t>)的</w:t>
      </w:r>
      <w:r>
        <w:rPr>
          <w:rFonts w:hint="eastAsia" w:ascii="宋体" w:hAnsi="宋体" w:eastAsia="宋体" w:cs="宋体"/>
          <w:sz w:val="24"/>
          <w:u w:val="single"/>
        </w:rPr>
        <w:t>(项目名称)</w:t>
      </w:r>
      <w:r>
        <w:rPr>
          <w:rFonts w:hint="eastAsia" w:ascii="宋体" w:hAnsi="宋体" w:eastAsia="宋体" w:cs="宋体"/>
          <w:sz w:val="24"/>
        </w:rPr>
        <w:t>采购活动，服务全部由符合政策要求的中小企业承接。相关企业(含联合体中的中小企业、签订分包意向协议的中小企业)的具体情况如下：</w:t>
      </w:r>
    </w:p>
    <w:p w14:paraId="5FC72D77">
      <w:pPr>
        <w:spacing w:line="360" w:lineRule="auto"/>
        <w:ind w:firstLine="480" w:firstLineChars="20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u w:val="single"/>
        </w:rPr>
        <w:t>(标的名称)</w:t>
      </w:r>
      <w:r>
        <w:rPr>
          <w:rFonts w:hint="eastAsia" w:ascii="宋体" w:hAnsi="宋体" w:eastAsia="宋体" w:cs="宋体"/>
          <w:sz w:val="24"/>
        </w:rPr>
        <w:t>,属于</w:t>
      </w:r>
      <w:r>
        <w:rPr>
          <w:rFonts w:hint="eastAsia" w:ascii="宋体" w:hAnsi="宋体" w:eastAsia="宋体" w:cs="宋体"/>
          <w:sz w:val="24"/>
          <w:u w:val="single"/>
        </w:rPr>
        <w:t>(采购文件中明确的所属行业：</w:t>
      </w:r>
      <w:r>
        <w:rPr>
          <w:rFonts w:hint="eastAsia" w:ascii="宋体" w:hAnsi="宋体" w:eastAsia="宋体" w:cs="宋体"/>
          <w:sz w:val="24"/>
          <w:u w:val="single"/>
          <w:lang w:eastAsia="zh-CN"/>
        </w:rPr>
        <w:t>租赁和商务服务业</w:t>
      </w:r>
      <w:r>
        <w:rPr>
          <w:rFonts w:hint="eastAsia" w:ascii="宋体" w:hAnsi="宋体" w:eastAsia="宋体" w:cs="宋体"/>
          <w:sz w:val="24"/>
          <w:u w:val="single"/>
        </w:rPr>
        <w:t>)</w:t>
      </w:r>
      <w:r>
        <w:rPr>
          <w:rFonts w:hint="eastAsia" w:ascii="宋体" w:hAnsi="宋体" w:eastAsia="宋体" w:cs="宋体"/>
          <w:sz w:val="24"/>
        </w:rPr>
        <w:t>;承接企业为</w:t>
      </w:r>
      <w:r>
        <w:rPr>
          <w:rFonts w:hint="eastAsia" w:ascii="宋体" w:hAnsi="宋体" w:eastAsia="宋体" w:cs="宋体"/>
          <w:sz w:val="24"/>
          <w:u w:val="single"/>
        </w:rPr>
        <w:t>(企业名称)</w:t>
      </w:r>
      <w:r>
        <w:rPr>
          <w:rFonts w:hint="eastAsia" w:ascii="宋体" w:hAnsi="宋体" w:eastAsia="宋体" w:cs="宋体"/>
          <w:sz w:val="24"/>
        </w:rPr>
        <w:t>,从业人员人，营业收入为万元，资产总额为万元，属于</w:t>
      </w:r>
      <w:r>
        <w:rPr>
          <w:rFonts w:hint="eastAsia" w:ascii="宋体" w:hAnsi="宋体" w:eastAsia="宋体" w:cs="宋体"/>
          <w:sz w:val="24"/>
          <w:u w:val="single"/>
        </w:rPr>
        <w:t>(中型企业、小型企业、微型企业)</w:t>
      </w:r>
      <w:r>
        <w:rPr>
          <w:rFonts w:hint="eastAsia" w:ascii="宋体" w:hAnsi="宋体" w:eastAsia="宋体" w:cs="宋体"/>
          <w:sz w:val="24"/>
        </w:rPr>
        <w:t>;</w:t>
      </w:r>
    </w:p>
    <w:p w14:paraId="77280EBC">
      <w:pPr>
        <w:spacing w:line="360" w:lineRule="auto"/>
        <w:ind w:firstLine="480" w:firstLineChars="200"/>
        <w:rPr>
          <w:rFonts w:ascii="宋体" w:hAnsi="宋体" w:eastAsia="宋体" w:cs="宋体"/>
          <w:sz w:val="24"/>
        </w:rPr>
      </w:pPr>
      <w:r>
        <w:rPr>
          <w:rFonts w:hint="eastAsia" w:ascii="宋体" w:hAnsi="宋体" w:eastAsia="宋体" w:cs="宋体"/>
          <w:sz w:val="24"/>
        </w:rPr>
        <w:t>2.</w:t>
      </w:r>
      <w:r>
        <w:rPr>
          <w:rFonts w:hint="eastAsia" w:ascii="宋体" w:hAnsi="宋体" w:eastAsia="宋体" w:cs="宋体"/>
          <w:sz w:val="24"/>
          <w:u w:val="single"/>
        </w:rPr>
        <w:t>(标的名称)</w:t>
      </w:r>
      <w:r>
        <w:rPr>
          <w:rFonts w:hint="eastAsia" w:ascii="宋体" w:hAnsi="宋体" w:eastAsia="宋体" w:cs="宋体"/>
          <w:sz w:val="24"/>
        </w:rPr>
        <w:t>,属于</w:t>
      </w:r>
      <w:r>
        <w:rPr>
          <w:rFonts w:hint="eastAsia" w:ascii="宋体" w:hAnsi="宋体" w:eastAsia="宋体" w:cs="宋体"/>
          <w:sz w:val="24"/>
          <w:u w:val="single"/>
        </w:rPr>
        <w:t>(采购文件中明确的所属行业：</w:t>
      </w:r>
      <w:r>
        <w:rPr>
          <w:rFonts w:hint="eastAsia" w:ascii="宋体" w:hAnsi="宋体" w:eastAsia="宋体" w:cs="宋体"/>
          <w:sz w:val="24"/>
          <w:u w:val="single"/>
          <w:lang w:eastAsia="zh-CN"/>
        </w:rPr>
        <w:t>租赁和商务服务业</w:t>
      </w:r>
      <w:r>
        <w:rPr>
          <w:rFonts w:hint="eastAsia" w:ascii="宋体" w:hAnsi="宋体" w:eastAsia="宋体" w:cs="宋体"/>
          <w:sz w:val="24"/>
          <w:u w:val="single"/>
        </w:rPr>
        <w:t>)</w:t>
      </w:r>
      <w:r>
        <w:rPr>
          <w:rFonts w:hint="eastAsia" w:ascii="宋体" w:hAnsi="宋体" w:eastAsia="宋体" w:cs="宋体"/>
          <w:sz w:val="24"/>
        </w:rPr>
        <w:t>;承接企业为</w:t>
      </w:r>
      <w:r>
        <w:rPr>
          <w:rFonts w:hint="eastAsia" w:ascii="宋体" w:hAnsi="宋体" w:eastAsia="宋体" w:cs="宋体"/>
          <w:sz w:val="24"/>
          <w:u w:val="single"/>
        </w:rPr>
        <w:t>(企业名称)</w:t>
      </w:r>
      <w:r>
        <w:rPr>
          <w:rFonts w:hint="eastAsia" w:ascii="宋体" w:hAnsi="宋体" w:eastAsia="宋体" w:cs="宋体"/>
          <w:sz w:val="24"/>
        </w:rPr>
        <w:t>,从业人员人，营业收入为万元，资产总额为万元，属于</w:t>
      </w:r>
      <w:r>
        <w:rPr>
          <w:rFonts w:hint="eastAsia" w:ascii="宋体" w:hAnsi="宋体" w:eastAsia="宋体" w:cs="宋体"/>
          <w:sz w:val="24"/>
          <w:u w:val="single"/>
        </w:rPr>
        <w:t>(中型企业、小型企业、微型企业)</w:t>
      </w:r>
      <w:r>
        <w:rPr>
          <w:rFonts w:hint="eastAsia" w:ascii="宋体" w:hAnsi="宋体" w:eastAsia="宋体" w:cs="宋体"/>
          <w:sz w:val="24"/>
        </w:rPr>
        <w:t>;</w:t>
      </w:r>
    </w:p>
    <w:p w14:paraId="56CA40B3">
      <w:pPr>
        <w:spacing w:line="360" w:lineRule="auto"/>
        <w:ind w:firstLine="480" w:firstLineChars="200"/>
        <w:rPr>
          <w:rFonts w:ascii="宋体" w:hAnsi="宋体" w:eastAsia="宋体" w:cs="宋体"/>
          <w:sz w:val="24"/>
        </w:rPr>
      </w:pPr>
      <w:r>
        <w:rPr>
          <w:rFonts w:hint="eastAsia" w:ascii="宋体" w:hAnsi="宋体" w:eastAsia="宋体" w:cs="宋体"/>
          <w:sz w:val="24"/>
        </w:rPr>
        <w:t>......</w:t>
      </w:r>
    </w:p>
    <w:p w14:paraId="2820FD5A">
      <w:pPr>
        <w:spacing w:line="360" w:lineRule="auto"/>
        <w:ind w:firstLine="480" w:firstLineChars="200"/>
        <w:rPr>
          <w:rFonts w:ascii="宋体" w:hAnsi="宋体" w:eastAsia="宋体" w:cs="宋体"/>
          <w:sz w:val="24"/>
        </w:rPr>
      </w:pPr>
      <w:r>
        <w:rPr>
          <w:rFonts w:hint="eastAsia" w:ascii="宋体" w:hAnsi="宋体" w:eastAsia="宋体" w:cs="宋体"/>
          <w:sz w:val="24"/>
        </w:rPr>
        <w:t>以上企业，不属于大企业的分支机构，不存在控股股东为大企业的情形，也不存在与大企业的负责人为同一人的情形。</w:t>
      </w:r>
    </w:p>
    <w:p w14:paraId="14A435DF">
      <w:pPr>
        <w:spacing w:line="360" w:lineRule="auto"/>
        <w:ind w:firstLine="480" w:firstLineChars="200"/>
        <w:rPr>
          <w:rFonts w:ascii="宋体" w:hAnsi="宋体" w:eastAsia="宋体" w:cs="宋体"/>
          <w:sz w:val="24"/>
        </w:rPr>
      </w:pPr>
      <w:r>
        <w:rPr>
          <w:rFonts w:hint="eastAsia" w:ascii="宋体" w:hAnsi="宋体" w:eastAsia="宋体" w:cs="宋体"/>
          <w:sz w:val="24"/>
        </w:rPr>
        <w:t>本企业对上述声明内容的真实性负责。如有虚假，将依法承担相应责任。</w:t>
      </w:r>
    </w:p>
    <w:p w14:paraId="7AB36D1F">
      <w:pPr>
        <w:spacing w:line="360" w:lineRule="auto"/>
        <w:ind w:firstLine="480" w:firstLineChars="200"/>
        <w:rPr>
          <w:rFonts w:ascii="宋体" w:hAnsi="宋体" w:eastAsia="宋体" w:cs="宋体"/>
          <w:sz w:val="24"/>
        </w:rPr>
      </w:pPr>
    </w:p>
    <w:p w14:paraId="506E388B">
      <w:pPr>
        <w:spacing w:line="360" w:lineRule="auto"/>
        <w:ind w:firstLine="480" w:firstLineChars="200"/>
        <w:rPr>
          <w:rFonts w:ascii="宋体" w:hAnsi="宋体" w:eastAsia="宋体" w:cs="宋体"/>
          <w:sz w:val="24"/>
        </w:rPr>
      </w:pPr>
    </w:p>
    <w:p w14:paraId="2F7C171F">
      <w:pPr>
        <w:spacing w:line="360" w:lineRule="auto"/>
        <w:ind w:firstLine="480" w:firstLineChars="200"/>
        <w:rPr>
          <w:rFonts w:ascii="宋体" w:hAnsi="宋体" w:eastAsia="宋体" w:cs="宋体"/>
          <w:sz w:val="24"/>
        </w:rPr>
      </w:pPr>
      <w:r>
        <w:rPr>
          <w:rFonts w:hint="eastAsia" w:ascii="宋体" w:hAnsi="宋体" w:eastAsia="宋体" w:cs="宋体"/>
          <w:sz w:val="24"/>
        </w:rPr>
        <w:t>企业名称(盖章):</w:t>
      </w:r>
    </w:p>
    <w:p w14:paraId="468FC5F2">
      <w:pPr>
        <w:spacing w:line="360" w:lineRule="auto"/>
        <w:ind w:firstLine="480" w:firstLineChars="200"/>
        <w:rPr>
          <w:rFonts w:ascii="宋体" w:hAnsi="宋体" w:eastAsia="宋体" w:cs="宋体"/>
          <w:sz w:val="24"/>
        </w:rPr>
      </w:pPr>
      <w:r>
        <w:rPr>
          <w:rFonts w:hint="eastAsia" w:ascii="宋体" w:hAnsi="宋体" w:eastAsia="宋体" w:cs="宋体"/>
          <w:sz w:val="24"/>
        </w:rPr>
        <w:t>日期：</w:t>
      </w:r>
    </w:p>
    <w:p w14:paraId="14A9ABE9">
      <w:pPr>
        <w:spacing w:line="360" w:lineRule="auto"/>
        <w:ind w:firstLine="480" w:firstLineChars="200"/>
        <w:rPr>
          <w:rFonts w:ascii="宋体" w:hAnsi="宋体" w:eastAsia="宋体" w:cs="宋体"/>
          <w:sz w:val="24"/>
        </w:rPr>
      </w:pPr>
      <w:r>
        <w:rPr>
          <w:rFonts w:hint="eastAsia" w:ascii="宋体" w:hAnsi="宋体" w:eastAsia="宋体" w:cs="宋体"/>
          <w:sz w:val="24"/>
        </w:rPr>
        <w:t>注：从业人员、营业收入、资产总额填报上一年度数据，无上一年度数据的新成立企业可不填报。</w:t>
      </w:r>
    </w:p>
    <w:p w14:paraId="4C34B8B3">
      <w:pPr>
        <w:sectPr>
          <w:headerReference r:id="rId20" w:type="default"/>
          <w:footerReference r:id="rId21" w:type="default"/>
          <w:pgSz w:w="11900" w:h="16840"/>
          <w:pgMar w:top="1129" w:right="1210" w:bottom="1391" w:left="1190" w:header="1120" w:footer="1262" w:gutter="0"/>
          <w:cols w:space="720" w:num="1"/>
        </w:sectPr>
      </w:pPr>
    </w:p>
    <w:p w14:paraId="1D9E8791">
      <w:pPr>
        <w:jc w:val="center"/>
        <w:outlineLvl w:val="2"/>
        <w:rPr>
          <w:rFonts w:ascii="Times New Roman" w:hAnsi="Times New Roman" w:eastAsia="宋体" w:cs="Times New Roman"/>
          <w:sz w:val="28"/>
          <w:szCs w:val="28"/>
        </w:rPr>
      </w:pPr>
      <w:bookmarkStart w:id="139" w:name="_bookmark90"/>
      <w:bookmarkEnd w:id="139"/>
      <w:bookmarkStart w:id="140" w:name="_Toc10428"/>
      <w:r>
        <w:rPr>
          <w:rFonts w:hint="eastAsia" w:ascii="Times New Roman" w:hAnsi="Times New Roman" w:eastAsia="宋体" w:cs="Times New Roman"/>
          <w:sz w:val="28"/>
          <w:szCs w:val="28"/>
        </w:rPr>
        <w:t>(二)按磋商文件要求供应商所能提供的其他文件</w:t>
      </w:r>
      <w:bookmarkEnd w:id="140"/>
    </w:p>
    <w:p w14:paraId="65C385AA">
      <w:pPr>
        <w:pStyle w:val="6"/>
      </w:pPr>
    </w:p>
    <w:p w14:paraId="7AAA0266"/>
    <w:sectPr>
      <w:headerReference r:id="rId22" w:type="default"/>
      <w:footerReference r:id="rId23" w:type="default"/>
      <w:pgSz w:w="11900" w:h="16840"/>
      <w:pgMar w:top="1129" w:right="1239" w:bottom="1391" w:left="1190" w:header="1120" w:footer="126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时尚中黑简体">
    <w:panose1 w:val="01010104010101010101"/>
    <w:charset w:val="86"/>
    <w:family w:val="auto"/>
    <w:pitch w:val="default"/>
    <w:sig w:usb0="800002BF" w:usb1="184F6CF8"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方正仿宋_GBK">
    <w:panose1 w:val="02000000000000000000"/>
    <w:charset w:val="86"/>
    <w:family w:val="script"/>
    <w:pitch w:val="default"/>
    <w:sig w:usb0="A00002BF" w:usb1="38CF7CFA" w:usb2="00082016" w:usb3="00000000" w:csb0="00040001" w:csb1="00000000"/>
  </w:font>
  <w:font w:name="楷体">
    <w:panose1 w:val="02010609060101010101"/>
    <w:charset w:val="86"/>
    <w:family w:val="modern"/>
    <w:pitch w:val="default"/>
    <w:sig w:usb0="800002BF" w:usb1="38CF7CFA" w:usb2="00000016"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FF5BA">
    <w:pPr>
      <w:pStyle w:val="1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7330EEC">
                          <w:pPr>
                            <w:pStyle w:val="10"/>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YWiky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VhaKTICAABlBAAADgAAAAAAAAABACAAAAAfAQAAZHJzL2Uyb0RvYy54bWxQSwUG&#10;AAAAAAYABgBZAQAAwwUAAAAA&#10;">
              <v:fill on="f" focussize="0,0"/>
              <v:stroke on="f" weight="0.5pt"/>
              <v:imagedata o:title=""/>
              <o:lock v:ext="edit" aspectratio="f"/>
              <v:textbox inset="0mm,0mm,0mm,0mm" style="mso-fit-shape-to-text:t;">
                <w:txbxContent>
                  <w:p w14:paraId="47330EEC">
                    <w:pPr>
                      <w:pStyle w:val="10"/>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2AEC4">
    <w:pPr>
      <w:pStyle w:val="1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C8DA579">
                          <w:pPr>
                            <w:pStyle w:val="10"/>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ZE8m0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2RPJtMQIAAGUEAAAOAAAAAAAAAAEAIAAAAB8BAABkcnMvZTJvRG9jLnhtbFBLBQYA&#10;AAAABgAGAFkBAADCBQAAAAA=&#10;">
              <v:fill on="f" focussize="0,0"/>
              <v:stroke on="f" weight="0.5pt"/>
              <v:imagedata o:title=""/>
              <o:lock v:ext="edit" aspectratio="f"/>
              <v:textbox inset="0mm,0mm,0mm,0mm" style="mso-fit-shape-to-text:t;">
                <w:txbxContent>
                  <w:p w14:paraId="2C8DA579">
                    <w:pPr>
                      <w:pStyle w:val="10"/>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4C52D">
    <w:pPr>
      <w:pStyle w:val="1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84B990F">
                          <w:pPr>
                            <w:pStyle w:val="10"/>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ytsHc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dYwVaRp6mEipKz1aod23&#10;Pc+9Kc6g6Uw3Kd7yTY1StsyHB+YwGigfjyfcYymlQUrTW5RUxn3513mMR8fgpaTBqOVU42VRIt9r&#10;dBKAYTDcYOwHQx/VncHsojmoJZm44IIczNIZ9RkvahVzwMU0R6achsG8C92440VysVqlIMyeZWGr&#10;d5ZH6CiPt6tjgJxJ5ShKpwS6EzeYvtSn/qXE8f5zn6I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8rbB3MQIAAGUEAAAOAAAAAAAAAAEAIAAAAB8BAABkcnMvZTJvRG9jLnhtbFBLBQYA&#10;AAAABgAGAFkBAADCBQAAAAA=&#10;">
              <v:fill on="f" focussize="0,0"/>
              <v:stroke on="f" weight="0.5pt"/>
              <v:imagedata o:title=""/>
              <o:lock v:ext="edit" aspectratio="f"/>
              <v:textbox inset="0mm,0mm,0mm,0mm" style="mso-fit-shape-to-text:t;">
                <w:txbxContent>
                  <w:p w14:paraId="384B990F">
                    <w:pPr>
                      <w:pStyle w:val="10"/>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61192">
    <w:pPr>
      <w:pStyle w:val="1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42A8621">
                          <w:pPr>
                            <w:pStyle w:val="1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Xd1ky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pd3WTICAABlBAAADgAAAAAAAAABACAAAAAfAQAAZHJzL2Uyb0RvYy54bWxQSwUG&#10;AAAAAAYABgBZAQAAwwUAAAAA&#10;">
              <v:fill on="f" focussize="0,0"/>
              <v:stroke on="f" weight="0.5pt"/>
              <v:imagedata o:title=""/>
              <o:lock v:ext="edit" aspectratio="f"/>
              <v:textbox inset="0mm,0mm,0mm,0mm" style="mso-fit-shape-to-text:t;">
                <w:txbxContent>
                  <w:p w14:paraId="542A8621">
                    <w:pPr>
                      <w:pStyle w:val="1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A3443">
    <w:pPr>
      <w:pStyle w:val="1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8479501">
                          <w:pPr>
                            <w:pStyle w:val="10"/>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h+NUMz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FSWaKXT8/OP7&#10;+efv869vBHcQqLF+jrgHi8jQvjMtxma497iMvNvSqfgLRgR+yHu6yCvaQHh8NJvOZmO4OHzDAfjZ&#10;03PrfHgvjCLRyKlD/5Ks7Lj1oQsdQmI2bTa1lKmHUpMmp9dXb8f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h+NUMzAgAAZQQAAA4AAAAAAAAAAQAgAAAAHwEAAGRycy9lMm9Eb2MueG1sUEsF&#10;BgAAAAAGAAYAWQEAAMQFAAAAAA==&#10;">
              <v:fill on="f" focussize="0,0"/>
              <v:stroke on="f" weight="0.5pt"/>
              <v:imagedata o:title=""/>
              <o:lock v:ext="edit" aspectratio="f"/>
              <v:textbox inset="0mm,0mm,0mm,0mm" style="mso-fit-shape-to-text:t;">
                <w:txbxContent>
                  <w:p w14:paraId="08479501">
                    <w:pPr>
                      <w:pStyle w:val="10"/>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3EF92">
    <w:pPr>
      <w:pStyle w:val="10"/>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9B06DE2">
                          <w:pPr>
                            <w:pStyle w:val="10"/>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j+QQz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KKZQsdPP76f&#10;fj6cfn0juINArfUzxN1bRIbunekwNsO9x2Xk3VVOxV8wIvBD3uNFXtEFwuOj6WQ6zeHi8A0H4GeP&#10;z63z4b0wikSjoA79S7Kyw8aHPnQIidm0WTdSph5KTdqCXr1+m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j+QQzAgAAZQQAAA4AAAAAAAAAAQAgAAAAHwEAAGRycy9lMm9Eb2MueG1sUEsF&#10;BgAAAAAGAAYAWQEAAMQFAAAAAA==&#10;">
              <v:fill on="f" focussize="0,0"/>
              <v:stroke on="f" weight="0.5pt"/>
              <v:imagedata o:title=""/>
              <o:lock v:ext="edit" aspectratio="f"/>
              <v:textbox inset="0mm,0mm,0mm,0mm" style="mso-fit-shape-to-text:t;">
                <w:txbxContent>
                  <w:p w14:paraId="59B06DE2">
                    <w:pPr>
                      <w:pStyle w:val="10"/>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177DE7">
    <w:pPr>
      <w:pStyle w:val="10"/>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97A3D69">
                          <w:pPr>
                            <w:pStyle w:val="10"/>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QKux4z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FSWaKXT8/OP7&#10;+efv869vBHcQqLF+jrgHi8jQvjMtxma497iMvNvSqfgLRgR+yHu6yCvaQHh8NJvOZmO4OHzDAfjZ&#10;03PrfHgvjCLRyKlD/5Ks7Lj1oQsdQmI2bTa1lKmHUpMmp9dvr8b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QKux4zAgAAZQQAAA4AAAAAAAAAAQAgAAAAHwEAAGRycy9lMm9Eb2MueG1sUEsF&#10;BgAAAAAGAAYAWQEAAMQFAAAAAA==&#10;">
              <v:fill on="f" focussize="0,0"/>
              <v:stroke on="f" weight="0.5pt"/>
              <v:imagedata o:title=""/>
              <o:lock v:ext="edit" aspectratio="f"/>
              <v:textbox inset="0mm,0mm,0mm,0mm" style="mso-fit-shape-to-text:t;">
                <w:txbxContent>
                  <w:p w14:paraId="697A3D69">
                    <w:pPr>
                      <w:pStyle w:val="10"/>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CABB9">
    <w:pPr>
      <w:pStyle w:val="10"/>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87E7B25">
                          <w:pPr>
                            <w:pStyle w:val="10"/>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DZPioz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DZPiozAgAAZQQAAA4AAAAAAAAAAQAgAAAAHwEAAGRycy9lMm9Eb2MueG1sUEsF&#10;BgAAAAAGAAYAWQEAAMQFAAAAAA==&#10;">
              <v:fill on="f" focussize="0,0"/>
              <v:stroke on="f" weight="0.5pt"/>
              <v:imagedata o:title=""/>
              <o:lock v:ext="edit" aspectratio="f"/>
              <v:textbox inset="0mm,0mm,0mm,0mm" style="mso-fit-shape-to-text:t;">
                <w:txbxContent>
                  <w:p w14:paraId="487E7B25">
                    <w:pPr>
                      <w:pStyle w:val="10"/>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05158">
    <w:pPr>
      <w:pStyle w:val="10"/>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EE188CF">
                          <w:pPr>
                            <w:pStyle w:val="10"/>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YK5b8y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grlvzICAABlBAAADgAAAAAAAAABACAAAAAfAQAAZHJzL2Uyb0RvYy54bWxQSwUG&#10;AAAAAAYABgBZAQAAwwUAAAAA&#10;">
              <v:fill on="f" focussize="0,0"/>
              <v:stroke on="f" weight="0.5pt"/>
              <v:imagedata o:title=""/>
              <o:lock v:ext="edit" aspectratio="f"/>
              <v:textbox inset="0mm,0mm,0mm,0mm" style="mso-fit-shape-to-text:t;">
                <w:txbxContent>
                  <w:p w14:paraId="3EE188CF">
                    <w:pPr>
                      <w:pStyle w:val="10"/>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AC8DA">
    <w:pPr>
      <w:pStyle w:val="10"/>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4D0A519">
                          <w:pPr>
                            <w:pStyle w:val="10"/>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jp6Uz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zjp6UzAgAAZQQAAA4AAAAAAAAAAQAgAAAAHwEAAGRycy9lMm9Eb2MueG1sUEsF&#10;BgAAAAAGAAYAWQEAAMQFAAAAAA==&#10;">
              <v:fill on="f" focussize="0,0"/>
              <v:stroke on="f" weight="0.5pt"/>
              <v:imagedata o:title=""/>
              <o:lock v:ext="edit" aspectratio="f"/>
              <v:textbox inset="0mm,0mm,0mm,0mm" style="mso-fit-shape-to-text:t;">
                <w:txbxContent>
                  <w:p w14:paraId="54D0A519">
                    <w:pPr>
                      <w:pStyle w:val="10"/>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8D137">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585EC08">
                          <w:pPr>
                            <w:pStyle w:val="10"/>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vEGwwyAgAAZQ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n31dpwuXDwAlzrGijQNPUyk1JUerdDu&#10;2p7nzhQn0HSmmxRv+aZGKVvmwz1zGA2Uj8cT7rCU0iCl6S1KKuO+/us8xqNj8FLSYNRyqvGyKJEf&#10;NDoJwDAYbjB2g6EP6tZgdtEc1JJMXHBBDmbpjPqCF7WKOeBimiNTTsNg3oZu3PEiuVitUhBmz7Kw&#10;1Q+WR+goj7erQ4CcSeUoSqcEuhM3mL7Up/6lxPH+c5+inv4O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8QbDDICAABlBAAADgAAAAAAAAABACAAAAAfAQAAZHJzL2Uyb0RvYy54bWxQSwUG&#10;AAAAAAYABgBZAQAAwwUAAAAA&#10;">
              <v:fill on="f" focussize="0,0"/>
              <v:stroke on="f" weight="0.5pt"/>
              <v:imagedata o:title=""/>
              <o:lock v:ext="edit" aspectratio="f"/>
              <v:textbox inset="0mm,0mm,0mm,0mm" style="mso-fit-shape-to-text:t;">
                <w:txbxContent>
                  <w:p w14:paraId="3585EC08">
                    <w:pPr>
                      <w:pStyle w:val="10"/>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89120">
    <w:pPr>
      <w:pStyle w:val="10"/>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96AE44">
                          <w:pPr>
                            <w:pStyle w:val="10"/>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X+3CIz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OrKSWaKXT8/OP7&#10;+efv869vBHcQqLF+jrgHi8jQvjMtxma497iMvNvSqfgLRgR+yHu6yCvaQHh8NJvOZmO4OHzDAfjZ&#10;03PrfHgvjCLRyKlD/5Ks7Lj1oQsdQmI2bTa1lKmHUpMmp9dXb8f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X+3CIzAgAAZQQAAA4AAAAAAAAAAQAgAAAAHwEAAGRycy9lMm9Eb2MueG1sUEsF&#10;BgAAAAAGAAYAWQEAAMQFAAAAAA==&#10;">
              <v:fill on="f" focussize="0,0"/>
              <v:stroke on="f" weight="0.5pt"/>
              <v:imagedata o:title=""/>
              <o:lock v:ext="edit" aspectratio="f"/>
              <v:textbox inset="0mm,0mm,0mm,0mm" style="mso-fit-shape-to-text:t;">
                <w:txbxContent>
                  <w:p w14:paraId="7C96AE44">
                    <w:pPr>
                      <w:pStyle w:val="10"/>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56F26">
    <w:pPr>
      <w:pStyle w:val="1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441BDE5">
                          <w:pPr>
                            <w:pStyle w:val="10"/>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8XnjgzAgAAZQ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8XnjgzAgAAZQQAAA4AAAAAAAAAAQAgAAAAHwEAAGRycy9lMm9Eb2MueG1sUEsF&#10;BgAAAAAGAAYAWQEAAMQFAAAAAA==&#10;">
              <v:fill on="f" focussize="0,0"/>
              <v:stroke on="f" weight="0.5pt"/>
              <v:imagedata o:title=""/>
              <o:lock v:ext="edit" aspectratio="f"/>
              <v:textbox inset="0mm,0mm,0mm,0mm" style="mso-fit-shape-to-text:t;">
                <w:txbxContent>
                  <w:p w14:paraId="4441BDE5">
                    <w:pPr>
                      <w:pStyle w:val="10"/>
                    </w:pPr>
                    <w:r>
                      <w:fldChar w:fldCharType="begin"/>
                    </w:r>
                    <w:r>
                      <w:instrText xml:space="preserve"> PAGE  \* MERGEFORMAT </w:instrText>
                    </w:r>
                    <w:r>
                      <w:fldChar w:fldCharType="separate"/>
                    </w:r>
                    <w:r>
                      <w:t>51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E96F8">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CE976">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22E0D">
    <w:pPr>
      <w:pStyle w:val="1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88BCE">
    <w:pPr>
      <w:spacing w:line="14" w:lineRule="auto"/>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B873C">
    <w:pPr>
      <w:spacing w:line="14" w:lineRule="auto"/>
      <w:rPr>
        <w:rFonts w:ascii="Arial"/>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5D43F">
    <w:pPr>
      <w:spacing w:line="14" w:lineRule="auto"/>
      <w:rPr>
        <w:rFonts w:ascii="Arial"/>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CA0FF">
    <w:pPr>
      <w:pStyle w:val="1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42E76">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FE6EF"/>
    <w:multiLevelType w:val="singleLevel"/>
    <w:tmpl w:val="AE3FE6EF"/>
    <w:lvl w:ilvl="0" w:tentative="0">
      <w:start w:val="1"/>
      <w:numFmt w:val="chineseCounting"/>
      <w:suff w:val="nothing"/>
      <w:lvlText w:val="（%1）"/>
      <w:lvlJc w:val="left"/>
      <w:rPr>
        <w:rFonts w:hint="eastAsia"/>
      </w:rPr>
    </w:lvl>
  </w:abstractNum>
  <w:abstractNum w:abstractNumId="1">
    <w:nsid w:val="D670D299"/>
    <w:multiLevelType w:val="singleLevel"/>
    <w:tmpl w:val="D670D299"/>
    <w:lvl w:ilvl="0" w:tentative="0">
      <w:start w:val="1"/>
      <w:numFmt w:val="decimal"/>
      <w:pStyle w:val="20"/>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74B32"/>
    <w:rsid w:val="00B92181"/>
    <w:rsid w:val="00BE32F3"/>
    <w:rsid w:val="015679D0"/>
    <w:rsid w:val="03694768"/>
    <w:rsid w:val="04FE4504"/>
    <w:rsid w:val="05E11832"/>
    <w:rsid w:val="08346591"/>
    <w:rsid w:val="08CF045B"/>
    <w:rsid w:val="09271C52"/>
    <w:rsid w:val="11301FEB"/>
    <w:rsid w:val="135A334F"/>
    <w:rsid w:val="153A3107"/>
    <w:rsid w:val="15BB209F"/>
    <w:rsid w:val="17F17FFA"/>
    <w:rsid w:val="17F84EE5"/>
    <w:rsid w:val="1BD23C9F"/>
    <w:rsid w:val="1D3249F5"/>
    <w:rsid w:val="1EDB10BC"/>
    <w:rsid w:val="27F356C9"/>
    <w:rsid w:val="2BB94533"/>
    <w:rsid w:val="2CBC077F"/>
    <w:rsid w:val="2DC25921"/>
    <w:rsid w:val="2F01691D"/>
    <w:rsid w:val="34E95E89"/>
    <w:rsid w:val="39665CFB"/>
    <w:rsid w:val="3AFD268F"/>
    <w:rsid w:val="3F5B5BD6"/>
    <w:rsid w:val="3FC419CD"/>
    <w:rsid w:val="43505326"/>
    <w:rsid w:val="44DB5385"/>
    <w:rsid w:val="4BE11211"/>
    <w:rsid w:val="4D2168A6"/>
    <w:rsid w:val="575B7169"/>
    <w:rsid w:val="57C12E2F"/>
    <w:rsid w:val="588E0972"/>
    <w:rsid w:val="594D25DB"/>
    <w:rsid w:val="5E604E46"/>
    <w:rsid w:val="62797F9D"/>
    <w:rsid w:val="63193174"/>
    <w:rsid w:val="641C07E7"/>
    <w:rsid w:val="64552344"/>
    <w:rsid w:val="66FD119D"/>
    <w:rsid w:val="68EC771B"/>
    <w:rsid w:val="6A467A8B"/>
    <w:rsid w:val="6E443B55"/>
    <w:rsid w:val="79664D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line="576" w:lineRule="auto"/>
      <w:outlineLvl w:val="0"/>
    </w:pPr>
    <w:rPr>
      <w:b/>
      <w:kern w:val="44"/>
      <w:sz w:val="44"/>
    </w:rPr>
  </w:style>
  <w:style w:type="paragraph" w:styleId="4">
    <w:name w:val="heading 2"/>
    <w:basedOn w:val="1"/>
    <w:next w:val="1"/>
    <w:unhideWhenUsed/>
    <w:qFormat/>
    <w:uiPriority w:val="0"/>
    <w:pPr>
      <w:keepNext/>
      <w:keepLines/>
      <w:spacing w:line="413" w:lineRule="auto"/>
      <w:outlineLvl w:val="1"/>
    </w:pPr>
    <w:rPr>
      <w:rFonts w:ascii="Arial" w:hAnsi="Arial" w:eastAsia="黑体"/>
      <w:b/>
      <w:sz w:val="32"/>
    </w:rPr>
  </w:style>
  <w:style w:type="paragraph" w:styleId="5">
    <w:name w:val="heading 3"/>
    <w:basedOn w:val="1"/>
    <w:next w:val="1"/>
    <w:unhideWhenUsed/>
    <w:qFormat/>
    <w:uiPriority w:val="0"/>
    <w:pPr>
      <w:keepNext/>
      <w:keepLines/>
      <w:spacing w:line="413" w:lineRule="auto"/>
      <w:outlineLvl w:val="2"/>
    </w:pPr>
    <w:rPr>
      <w:b/>
      <w:sz w:val="32"/>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customStyle="1" w:styleId="2">
    <w:name w:val="列表段落1"/>
    <w:qFormat/>
    <w:uiPriority w:val="34"/>
    <w:pPr>
      <w:widowControl w:val="0"/>
      <w:adjustRightInd w:val="0"/>
      <w:spacing w:line="360" w:lineRule="atLeast"/>
      <w:ind w:firstLine="420" w:firstLineChars="200"/>
      <w:jc w:val="both"/>
      <w:textAlignment w:val="baseline"/>
    </w:pPr>
    <w:rPr>
      <w:rFonts w:ascii="@时尚中黑简体" w:hAnsi="@时尚中黑简体" w:eastAsia="宋体" w:cs="@时尚中黑简体"/>
      <w:sz w:val="21"/>
      <w:szCs w:val="22"/>
      <w:lang w:val="en-US" w:eastAsia="zh-CN" w:bidi="ar-SA"/>
    </w:rPr>
  </w:style>
  <w:style w:type="paragraph" w:styleId="6">
    <w:name w:val="Normal Indent"/>
    <w:basedOn w:val="1"/>
    <w:qFormat/>
    <w:uiPriority w:val="99"/>
    <w:pPr>
      <w:ind w:firstLine="420"/>
    </w:pPr>
    <w:rPr>
      <w:szCs w:val="20"/>
    </w:rPr>
  </w:style>
  <w:style w:type="paragraph" w:styleId="7">
    <w:name w:val="Body Text"/>
    <w:basedOn w:val="1"/>
    <w:qFormat/>
    <w:uiPriority w:val="0"/>
    <w:rPr>
      <w:rFonts w:ascii="楷体_GB2312" w:hAnsi="Arial" w:eastAsia="楷体_GB2312"/>
      <w:sz w:val="28"/>
      <w:szCs w:val="20"/>
      <w:lang w:bidi="mn-Mong-CN"/>
    </w:rPr>
  </w:style>
  <w:style w:type="paragraph" w:styleId="8">
    <w:name w:val="toc 3"/>
    <w:basedOn w:val="1"/>
    <w:next w:val="1"/>
    <w:qFormat/>
    <w:uiPriority w:val="39"/>
    <w:pPr>
      <w:ind w:left="840" w:leftChars="400"/>
    </w:pPr>
  </w:style>
  <w:style w:type="paragraph" w:styleId="9">
    <w:name w:val="Plain Text"/>
    <w:basedOn w:val="1"/>
    <w:qFormat/>
    <w:uiPriority w:val="0"/>
    <w:rPr>
      <w:rFonts w:ascii="宋体" w:hAnsi="Courier New" w:cs="Courier New"/>
      <w:szCs w:val="21"/>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ind w:left="420" w:leftChars="200"/>
    </w:pPr>
  </w:style>
  <w:style w:type="paragraph" w:styleId="14">
    <w:name w:val="Normal (Web)"/>
    <w:basedOn w:val="1"/>
    <w:qFormat/>
    <w:uiPriority w:val="99"/>
    <w:pPr>
      <w:spacing w:before="0" w:beforeAutospacing="1" w:after="0" w:afterAutospacing="1"/>
      <w:ind w:left="0" w:right="0"/>
      <w:jc w:val="left"/>
    </w:pPr>
    <w:rPr>
      <w:kern w:val="0"/>
      <w:sz w:val="24"/>
      <w:lang w:val="en-US" w:eastAsia="zh-CN" w:bidi="ar"/>
    </w:rPr>
  </w:style>
  <w:style w:type="paragraph" w:styleId="15">
    <w:name w:val="Body Text First Indent"/>
    <w:basedOn w:val="7"/>
    <w:qFormat/>
    <w:uiPriority w:val="0"/>
    <w:rPr>
      <w:rFonts w:cs="方正仿宋_GBK"/>
      <w:color w:val="FF0000"/>
      <w:szCs w:val="28"/>
    </w:rPr>
  </w:style>
  <w:style w:type="character" w:styleId="18">
    <w:name w:val="Hyperlink"/>
    <w:basedOn w:val="17"/>
    <w:qFormat/>
    <w:uiPriority w:val="99"/>
    <w:rPr>
      <w:color w:val="0000FF"/>
      <w:u w:val="single"/>
    </w:rPr>
  </w:style>
  <w:style w:type="table" w:customStyle="1" w:styleId="19">
    <w:name w:val="Table Normal"/>
    <w:semiHidden/>
    <w:unhideWhenUsed/>
    <w:qFormat/>
    <w:uiPriority w:val="0"/>
    <w:tblPr>
      <w:tblCellMar>
        <w:top w:w="0" w:type="dxa"/>
        <w:left w:w="0" w:type="dxa"/>
        <w:bottom w:w="0" w:type="dxa"/>
        <w:right w:w="0" w:type="dxa"/>
      </w:tblCellMar>
    </w:tblPr>
  </w:style>
  <w:style w:type="paragraph" w:customStyle="1" w:styleId="20">
    <w:name w:val="二级目录"/>
    <w:next w:val="1"/>
    <w:qFormat/>
    <w:uiPriority w:val="99"/>
    <w:pPr>
      <w:numPr>
        <w:ilvl w:val="0"/>
        <w:numId w:val="1"/>
      </w:numPr>
      <w:tabs>
        <w:tab w:val="left" w:pos="720"/>
      </w:tabs>
      <w:outlineLvl w:val="1"/>
    </w:pPr>
    <w:rPr>
      <w:rFonts w:ascii="Calibri" w:hAnsi="Calibri" w:eastAsia="宋体" w:cs="Times New Roman"/>
      <w:b/>
      <w:bCs/>
      <w:kern w:val="2"/>
      <w:sz w:val="28"/>
      <w:szCs w:val="28"/>
      <w:lang w:val="en-US" w:eastAsia="zh-CN" w:bidi="ar-SA"/>
    </w:rPr>
  </w:style>
  <w:style w:type="paragraph" w:customStyle="1" w:styleId="21">
    <w:name w:val="标题 11"/>
    <w:basedOn w:val="1"/>
    <w:qFormat/>
    <w:uiPriority w:val="1"/>
    <w:pPr>
      <w:spacing w:before="182"/>
      <w:ind w:left="39"/>
      <w:jc w:val="center"/>
      <w:outlineLvl w:val="1"/>
    </w:pPr>
    <w:rPr>
      <w:sz w:val="43"/>
      <w:szCs w:val="43"/>
    </w:rPr>
  </w:style>
  <w:style w:type="paragraph" w:customStyle="1" w:styleId="22">
    <w:name w:val="Normal_28"/>
    <w:qFormat/>
    <w:uiPriority w:val="0"/>
    <w:rPr>
      <w:rFonts w:ascii="Times New Roman" w:hAnsi="Times New Roman" w:eastAsia="Times New Roman" w:cs="Times New Roman"/>
      <w:sz w:val="24"/>
      <w:szCs w:val="24"/>
      <w:lang w:val="en-US" w:eastAsia="zh-CN" w:bidi="ar-SA"/>
    </w:rPr>
  </w:style>
  <w:style w:type="paragraph" w:customStyle="1" w:styleId="23">
    <w:name w:val="Normal_3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4">
    <w:name w:val="Normal_32"/>
    <w:qFormat/>
    <w:uiPriority w:val="0"/>
    <w:rPr>
      <w:rFonts w:ascii="Times New Roman" w:hAnsi="Times New Roman" w:eastAsia="Times New Roman" w:cs="Times New Roman"/>
      <w:sz w:val="24"/>
      <w:szCs w:val="24"/>
      <w:lang w:val="en-US" w:eastAsia="zh-CN" w:bidi="ar-SA"/>
    </w:rPr>
  </w:style>
  <w:style w:type="paragraph" w:customStyle="1" w:styleId="25">
    <w:name w:val="Normal_3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6">
    <w:name w:val="Normal Indent_1"/>
    <w:basedOn w:val="25"/>
    <w:qFormat/>
    <w:uiPriority w:val="0"/>
    <w:pPr>
      <w:ind w:firstLine="420"/>
      <w:jc w:val="left"/>
    </w:pPr>
    <w:rPr>
      <w:rFonts w:ascii="楷体" w:hAnsi="Tms Rmn" w:eastAsia="楷体"/>
      <w:b/>
      <w:sz w:val="32"/>
      <w:szCs w:val="20"/>
    </w:rPr>
  </w:style>
  <w:style w:type="paragraph" w:customStyle="1" w:styleId="27">
    <w:name w:val="0正文"/>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28">
    <w:name w:val="05. SUYI 正文  (Regular)"/>
    <w:basedOn w:val="1"/>
    <w:qFormat/>
    <w:uiPriority w:val="0"/>
    <w:pPr>
      <w:spacing w:line="360" w:lineRule="auto"/>
      <w:ind w:firstLine="200" w:firstLineChars="200"/>
      <w:jc w:val="both"/>
    </w:pPr>
    <w:rPr>
      <w:rFonts w:ascii="Times New Roman" w:hAnsi="Times New Roman" w:eastAsia="宋体" w:cs="宋体"/>
      <w:color w:val="000000"/>
      <w:sz w:val="24"/>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3.xml"/><Relationship Id="rId22" Type="http://schemas.openxmlformats.org/officeDocument/2006/relationships/header" Target="header8.xml"/><Relationship Id="rId21" Type="http://schemas.openxmlformats.org/officeDocument/2006/relationships/footer" Target="footer12.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4777</Words>
  <Characters>5380</Characters>
  <Lines>0</Lines>
  <Paragraphs>0</Paragraphs>
  <TotalTime>23</TotalTime>
  <ScaleCrop>false</ScaleCrop>
  <LinksUpToDate>false</LinksUpToDate>
  <CharactersWithSpaces>5699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2026-05-13T09:37:00Z</dcterms:created>
  <dc:creator>Administrator</dc:creator>
  <cp:lastModifiedBy>、Y  y</cp:lastModifiedBy>
  <dcterms:modified xsi:type="dcterms:W3CDTF">2026-05-14T09:54:52Z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eyJoZGlkIjoiZTlkM2I1ZTcxOGNlMDQ4MjUwNGVmYzZlMzJiZDc5ZDAiLCJ1c2VySWQiOiIxMjAzODgzODk3In0=</vt:lpwstr>
  </property>
  <property fmtid="{D5CDD505-2E9C-101B-9397-08002B2CF9AE}" pid="4" name="ICV">
    <vt:lpwstr>4DF3AF452EFA40A791CCA40A62C8159B_13</vt:lpwstr>
  </property>
</Properties>
</file>